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0C" w:rsidRPr="008C076C" w:rsidRDefault="008C076C" w:rsidP="008C076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rPr>
        <w:t>Annexe I</w:t>
      </w:r>
      <w:r w:rsidR="00D41ED5">
        <w:rPr>
          <w:rFonts w:ascii="Arial" w:hAnsi="Arial" w:cs="Arial"/>
          <w:b/>
        </w:rPr>
        <w:t>I</w:t>
      </w:r>
      <w:r w:rsidR="00136E0C" w:rsidRPr="008C076C">
        <w:rPr>
          <w:rFonts w:ascii="Arial" w:hAnsi="Arial" w:cs="Arial"/>
          <w:b/>
        </w:rPr>
        <w:t xml:space="preserve"> : </w:t>
      </w:r>
      <w:r w:rsidR="002328FF" w:rsidRPr="008C076C">
        <w:rPr>
          <w:rFonts w:ascii="Arial" w:hAnsi="Arial" w:cs="Arial"/>
          <w:b/>
        </w:rPr>
        <w:t>Mesures catégorielles et salariales</w:t>
      </w:r>
    </w:p>
    <w:p w:rsidR="00BA785C" w:rsidRDefault="00BA785C" w:rsidP="004E632C">
      <w:pPr>
        <w:spacing w:after="0" w:line="240" w:lineRule="auto"/>
        <w:jc w:val="both"/>
        <w:rPr>
          <w:rFonts w:ascii="Arial" w:hAnsi="Arial" w:cs="Arial"/>
        </w:rPr>
      </w:pPr>
    </w:p>
    <w:p w:rsidR="00A63A6B" w:rsidRDefault="00A63A6B" w:rsidP="004E632C">
      <w:pPr>
        <w:spacing w:after="0" w:line="240" w:lineRule="auto"/>
        <w:jc w:val="both"/>
        <w:rPr>
          <w:rFonts w:ascii="Arial" w:hAnsi="Arial" w:cs="Arial"/>
        </w:rPr>
      </w:pPr>
    </w:p>
    <w:p w:rsidR="004872F7" w:rsidRDefault="00BA785C" w:rsidP="004E632C">
      <w:pPr>
        <w:spacing w:after="0" w:line="240" w:lineRule="auto"/>
        <w:jc w:val="both"/>
        <w:rPr>
          <w:rFonts w:ascii="Arial" w:hAnsi="Arial" w:cs="Arial"/>
        </w:rPr>
      </w:pPr>
      <w:r>
        <w:rPr>
          <w:rFonts w:ascii="Arial" w:hAnsi="Arial" w:cs="Arial"/>
        </w:rPr>
        <w:t xml:space="preserve">La présente annexe </w:t>
      </w:r>
      <w:r w:rsidR="00F32E24">
        <w:rPr>
          <w:rFonts w:ascii="Arial" w:hAnsi="Arial" w:cs="Arial"/>
        </w:rPr>
        <w:t xml:space="preserve">donne des éléments de cadrage </w:t>
      </w:r>
      <w:r w:rsidR="003D56DA">
        <w:rPr>
          <w:rFonts w:ascii="Arial" w:hAnsi="Arial" w:cs="Arial"/>
        </w:rPr>
        <w:t>sur</w:t>
      </w:r>
      <w:r w:rsidR="00F32E24">
        <w:rPr>
          <w:rFonts w:ascii="Arial" w:hAnsi="Arial" w:cs="Arial"/>
        </w:rPr>
        <w:t xml:space="preserve"> les délégations relatives aux mesures catégorielles et salariales. </w:t>
      </w:r>
    </w:p>
    <w:p w:rsidR="00BA785C" w:rsidRDefault="00CE34C8" w:rsidP="004E632C">
      <w:pPr>
        <w:spacing w:after="0" w:line="240" w:lineRule="auto"/>
        <w:jc w:val="both"/>
        <w:rPr>
          <w:rFonts w:ascii="Arial" w:hAnsi="Arial" w:cs="Arial"/>
        </w:rPr>
      </w:pPr>
      <w:r>
        <w:rPr>
          <w:rFonts w:ascii="Arial" w:hAnsi="Arial" w:cs="Arial"/>
        </w:rPr>
        <w:t xml:space="preserve">Veuillez noter que </w:t>
      </w:r>
      <w:r w:rsidR="00546649">
        <w:rPr>
          <w:rFonts w:ascii="Arial" w:hAnsi="Arial" w:cs="Arial"/>
        </w:rPr>
        <w:t>les montants reportés dans cette annexe</w:t>
      </w:r>
      <w:r>
        <w:rPr>
          <w:rFonts w:ascii="Arial" w:hAnsi="Arial" w:cs="Arial"/>
        </w:rPr>
        <w:t xml:space="preserve"> agrègent les délégations </w:t>
      </w:r>
      <w:r w:rsidR="003F4ABF">
        <w:rPr>
          <w:rFonts w:ascii="Arial" w:hAnsi="Arial" w:cs="Arial"/>
        </w:rPr>
        <w:t>MIGAC, DAF et</w:t>
      </w:r>
      <w:r>
        <w:rPr>
          <w:rFonts w:ascii="Arial" w:hAnsi="Arial" w:cs="Arial"/>
        </w:rPr>
        <w:t xml:space="preserve"> USLD</w:t>
      </w:r>
      <w:r w:rsidR="00693486">
        <w:rPr>
          <w:rFonts w:ascii="Arial" w:hAnsi="Arial" w:cs="Arial"/>
        </w:rPr>
        <w:t>. Vous trouverez la répartition entre ces dotations au sein</w:t>
      </w:r>
      <w:r w:rsidR="003F4ABF">
        <w:rPr>
          <w:rFonts w:ascii="Arial" w:hAnsi="Arial" w:cs="Arial"/>
        </w:rPr>
        <w:t xml:space="preserve"> </w:t>
      </w:r>
      <w:r>
        <w:rPr>
          <w:rFonts w:ascii="Arial" w:hAnsi="Arial" w:cs="Arial"/>
        </w:rPr>
        <w:t xml:space="preserve">dans l’annexe I de la présente circulaire. </w:t>
      </w:r>
    </w:p>
    <w:p w:rsidR="00136E0C" w:rsidRDefault="00136E0C" w:rsidP="004E632C">
      <w:pPr>
        <w:spacing w:after="0" w:line="240" w:lineRule="auto"/>
        <w:jc w:val="both"/>
        <w:rPr>
          <w:rFonts w:ascii="Arial" w:hAnsi="Arial" w:cs="Arial"/>
        </w:rPr>
      </w:pPr>
    </w:p>
    <w:p w:rsidR="00546649" w:rsidRPr="001A05DB" w:rsidRDefault="00546649" w:rsidP="004E632C">
      <w:pPr>
        <w:spacing w:after="0" w:line="240" w:lineRule="auto"/>
        <w:jc w:val="both"/>
        <w:rPr>
          <w:rFonts w:ascii="Arial" w:hAnsi="Arial" w:cs="Arial"/>
        </w:rPr>
      </w:pPr>
    </w:p>
    <w:p w:rsidR="009E65DD" w:rsidRPr="0045527C" w:rsidRDefault="009D5ADC" w:rsidP="0045527C">
      <w:pPr>
        <w:pStyle w:val="Paragraphedeliste"/>
        <w:numPr>
          <w:ilvl w:val="0"/>
          <w:numId w:val="7"/>
        </w:numPr>
        <w:spacing w:after="0" w:line="240" w:lineRule="auto"/>
        <w:jc w:val="both"/>
        <w:rPr>
          <w:rFonts w:ascii="Arial" w:hAnsi="Arial" w:cs="Arial"/>
          <w:b/>
        </w:rPr>
      </w:pPr>
      <w:r>
        <w:rPr>
          <w:rFonts w:ascii="Arial" w:hAnsi="Arial" w:cs="Arial"/>
          <w:b/>
        </w:rPr>
        <w:t>Les mesures salariales générales</w:t>
      </w:r>
    </w:p>
    <w:p w:rsidR="00E00116" w:rsidRDefault="00E00116" w:rsidP="004E632C">
      <w:pPr>
        <w:spacing w:after="0" w:line="240" w:lineRule="auto"/>
        <w:jc w:val="both"/>
        <w:rPr>
          <w:rFonts w:ascii="Arial" w:hAnsi="Arial" w:cs="Arial"/>
        </w:rPr>
      </w:pPr>
    </w:p>
    <w:p w:rsidR="00B44A33" w:rsidRPr="00B44A33" w:rsidRDefault="00B44A33" w:rsidP="00B44A33">
      <w:pPr>
        <w:spacing w:after="0" w:line="240" w:lineRule="auto"/>
        <w:rPr>
          <w:rFonts w:ascii="Arial" w:hAnsi="Arial" w:cs="Arial"/>
          <w:b/>
        </w:rPr>
      </w:pPr>
      <w:r w:rsidRPr="00B44A33">
        <w:rPr>
          <w:rFonts w:ascii="Arial" w:hAnsi="Arial" w:cs="Arial"/>
          <w:b/>
        </w:rPr>
        <w:t>Les mesures de reconduction</w:t>
      </w:r>
    </w:p>
    <w:p w:rsidR="00B44A33" w:rsidRDefault="00B44A33" w:rsidP="004E632C">
      <w:pPr>
        <w:spacing w:after="0" w:line="240" w:lineRule="auto"/>
        <w:jc w:val="both"/>
        <w:rPr>
          <w:rFonts w:ascii="Arial" w:hAnsi="Arial" w:cs="Arial"/>
        </w:rPr>
      </w:pPr>
    </w:p>
    <w:p w:rsidR="001043FB" w:rsidRDefault="00904431" w:rsidP="004E632C">
      <w:pPr>
        <w:spacing w:after="0" w:line="240" w:lineRule="auto"/>
        <w:jc w:val="both"/>
        <w:rPr>
          <w:rFonts w:ascii="Arial" w:hAnsi="Arial" w:cs="Arial"/>
        </w:rPr>
      </w:pPr>
      <w:r>
        <w:rPr>
          <w:rFonts w:ascii="Arial" w:hAnsi="Arial" w:cs="Arial"/>
          <w:b/>
        </w:rPr>
        <w:t>168,5</w:t>
      </w:r>
      <w:r w:rsidR="001043FB" w:rsidRPr="001043FB">
        <w:rPr>
          <w:rFonts w:ascii="Arial" w:hAnsi="Arial" w:cs="Arial"/>
          <w:b/>
        </w:rPr>
        <w:t>2M€</w:t>
      </w:r>
      <w:r w:rsidR="001043FB">
        <w:rPr>
          <w:rFonts w:ascii="Arial" w:hAnsi="Arial" w:cs="Arial"/>
        </w:rPr>
        <w:t xml:space="preserve"> de dotations DAF </w:t>
      </w:r>
      <w:r w:rsidR="008F14CA">
        <w:rPr>
          <w:rFonts w:ascii="Arial" w:hAnsi="Arial" w:cs="Arial"/>
        </w:rPr>
        <w:t xml:space="preserve">et </w:t>
      </w:r>
      <w:r w:rsidR="000773F5">
        <w:rPr>
          <w:rFonts w:ascii="Arial" w:hAnsi="Arial" w:cs="Arial"/>
          <w:b/>
        </w:rPr>
        <w:t>34</w:t>
      </w:r>
      <w:r w:rsidR="008F14CA" w:rsidRPr="008F14CA">
        <w:rPr>
          <w:rFonts w:ascii="Arial" w:hAnsi="Arial" w:cs="Arial"/>
          <w:b/>
        </w:rPr>
        <w:t>,</w:t>
      </w:r>
      <w:r w:rsidR="000773F5">
        <w:rPr>
          <w:rFonts w:ascii="Arial" w:hAnsi="Arial" w:cs="Arial"/>
          <w:b/>
        </w:rPr>
        <w:t>61</w:t>
      </w:r>
      <w:r w:rsidR="008F14CA" w:rsidRPr="008F14CA">
        <w:rPr>
          <w:rFonts w:ascii="Arial" w:hAnsi="Arial" w:cs="Arial"/>
          <w:b/>
        </w:rPr>
        <w:t>M€</w:t>
      </w:r>
      <w:r w:rsidR="008F14CA">
        <w:rPr>
          <w:rFonts w:ascii="Arial" w:hAnsi="Arial" w:cs="Arial"/>
        </w:rPr>
        <w:t xml:space="preserve"> de dotations MIGAC </w:t>
      </w:r>
      <w:r w:rsidR="001043FB">
        <w:rPr>
          <w:rFonts w:ascii="Arial" w:hAnsi="Arial" w:cs="Arial"/>
        </w:rPr>
        <w:t>sont déléguées en reconductible</w:t>
      </w:r>
      <w:r w:rsidR="009732B1">
        <w:rPr>
          <w:rFonts w:ascii="Arial" w:hAnsi="Arial" w:cs="Arial"/>
        </w:rPr>
        <w:t>s</w:t>
      </w:r>
      <w:r w:rsidR="001043FB">
        <w:rPr>
          <w:rFonts w:ascii="Arial" w:hAnsi="Arial" w:cs="Arial"/>
        </w:rPr>
        <w:t xml:space="preserve"> </w:t>
      </w:r>
      <w:r w:rsidR="004851A1">
        <w:rPr>
          <w:rFonts w:ascii="Arial" w:hAnsi="Arial" w:cs="Arial"/>
        </w:rPr>
        <w:t>au tit</w:t>
      </w:r>
      <w:r w:rsidR="00B933C5">
        <w:rPr>
          <w:rFonts w:ascii="Arial" w:hAnsi="Arial" w:cs="Arial"/>
        </w:rPr>
        <w:t>re des mesures de reconduction (</w:t>
      </w:r>
      <w:r w:rsidR="004872F7">
        <w:rPr>
          <w:rFonts w:ascii="Arial" w:hAnsi="Arial" w:cs="Arial"/>
        </w:rPr>
        <w:t xml:space="preserve">GVT, </w:t>
      </w:r>
      <w:r w:rsidR="001043FB">
        <w:rPr>
          <w:rFonts w:ascii="Arial" w:hAnsi="Arial" w:cs="Arial"/>
        </w:rPr>
        <w:t>augmentation du SMIC</w:t>
      </w:r>
      <w:r w:rsidR="004872F7">
        <w:rPr>
          <w:rFonts w:ascii="Arial" w:hAnsi="Arial" w:cs="Arial"/>
        </w:rPr>
        <w:t>,</w:t>
      </w:r>
      <w:r w:rsidR="001043FB">
        <w:rPr>
          <w:rFonts w:ascii="Arial" w:hAnsi="Arial" w:cs="Arial"/>
        </w:rPr>
        <w:t xml:space="preserve"> glissement vieillesse technicité</w:t>
      </w:r>
      <w:r w:rsidR="00B933C5">
        <w:rPr>
          <w:rFonts w:ascii="Arial" w:hAnsi="Arial" w:cs="Arial"/>
        </w:rPr>
        <w:t xml:space="preserve">, </w:t>
      </w:r>
      <w:r w:rsidR="004872F7">
        <w:rPr>
          <w:rFonts w:ascii="Arial" w:hAnsi="Arial" w:cs="Arial"/>
        </w:rPr>
        <w:t>…</w:t>
      </w:r>
      <w:r w:rsidR="00B933C5">
        <w:rPr>
          <w:rFonts w:ascii="Arial" w:hAnsi="Arial" w:cs="Arial"/>
        </w:rPr>
        <w:t>).</w:t>
      </w:r>
    </w:p>
    <w:p w:rsidR="00B44A33" w:rsidRPr="001A05DB" w:rsidRDefault="00B44A33" w:rsidP="004E632C">
      <w:pPr>
        <w:spacing w:after="0" w:line="240" w:lineRule="auto"/>
        <w:jc w:val="both"/>
        <w:rPr>
          <w:rFonts w:ascii="Arial" w:hAnsi="Arial" w:cs="Arial"/>
        </w:rPr>
      </w:pPr>
    </w:p>
    <w:p w:rsidR="002E7522" w:rsidRPr="001A05DB" w:rsidRDefault="002E7522" w:rsidP="001A05DB">
      <w:pPr>
        <w:spacing w:after="0" w:line="240" w:lineRule="auto"/>
        <w:rPr>
          <w:rFonts w:ascii="Arial" w:hAnsi="Arial" w:cs="Arial"/>
          <w:b/>
        </w:rPr>
      </w:pPr>
      <w:r w:rsidRPr="001A05DB">
        <w:rPr>
          <w:rFonts w:ascii="Arial" w:hAnsi="Arial" w:cs="Arial"/>
          <w:b/>
        </w:rPr>
        <w:t xml:space="preserve">Revalorisation des corps de catégorie C </w:t>
      </w:r>
    </w:p>
    <w:p w:rsidR="002B4E2C" w:rsidRPr="001A05DB" w:rsidRDefault="002B4E2C" w:rsidP="002B4E2C">
      <w:pPr>
        <w:spacing w:after="0" w:line="240" w:lineRule="auto"/>
        <w:jc w:val="both"/>
        <w:rPr>
          <w:rFonts w:ascii="Arial" w:hAnsi="Arial" w:cs="Arial"/>
        </w:rPr>
      </w:pPr>
    </w:p>
    <w:p w:rsidR="002E7522" w:rsidRPr="001A05DB" w:rsidRDefault="002B4E2C" w:rsidP="002B4E2C">
      <w:pPr>
        <w:spacing w:after="0" w:line="240" w:lineRule="auto"/>
        <w:jc w:val="both"/>
        <w:rPr>
          <w:rFonts w:ascii="Arial" w:hAnsi="Arial" w:cs="Arial"/>
        </w:rPr>
      </w:pPr>
      <w:r w:rsidRPr="001A05DB">
        <w:rPr>
          <w:rFonts w:ascii="Arial" w:hAnsi="Arial" w:cs="Arial"/>
          <w:b/>
        </w:rPr>
        <w:t>44,16M€</w:t>
      </w:r>
      <w:r w:rsidRPr="001A05DB">
        <w:rPr>
          <w:rFonts w:ascii="Arial" w:hAnsi="Arial" w:cs="Arial"/>
        </w:rPr>
        <w:t xml:space="preserve"> </w:t>
      </w:r>
      <w:r w:rsidR="00AA24BB">
        <w:rPr>
          <w:rFonts w:ascii="Arial" w:hAnsi="Arial" w:cs="Arial"/>
        </w:rPr>
        <w:t>de crédits AC, DAF et USLD</w:t>
      </w:r>
      <w:r w:rsidR="00AA24BB" w:rsidRPr="001A05DB">
        <w:rPr>
          <w:rFonts w:ascii="Arial" w:hAnsi="Arial" w:cs="Arial"/>
        </w:rPr>
        <w:t xml:space="preserve"> </w:t>
      </w:r>
      <w:r w:rsidRPr="001A05DB">
        <w:rPr>
          <w:rFonts w:ascii="Arial" w:hAnsi="Arial" w:cs="Arial"/>
        </w:rPr>
        <w:t xml:space="preserve">sont délégués </w:t>
      </w:r>
      <w:r w:rsidR="0092554C">
        <w:rPr>
          <w:rFonts w:ascii="Arial" w:hAnsi="Arial" w:cs="Arial"/>
        </w:rPr>
        <w:t xml:space="preserve">en reconductibles </w:t>
      </w:r>
      <w:r w:rsidRPr="001A05DB">
        <w:rPr>
          <w:rFonts w:ascii="Arial" w:hAnsi="Arial" w:cs="Arial"/>
        </w:rPr>
        <w:t xml:space="preserve">au titre de </w:t>
      </w:r>
      <w:r w:rsidR="002E7522" w:rsidRPr="001A05DB">
        <w:rPr>
          <w:rFonts w:ascii="Arial" w:hAnsi="Arial" w:cs="Arial"/>
        </w:rPr>
        <w:t>la première tranche de revalorisation des corps de catégorie C et des premiers échelons de certains corps de la catégorie B, à compter du 1</w:t>
      </w:r>
      <w:r w:rsidR="002E7522" w:rsidRPr="001A05DB">
        <w:rPr>
          <w:rFonts w:ascii="Arial" w:hAnsi="Arial" w:cs="Arial"/>
          <w:vertAlign w:val="superscript"/>
        </w:rPr>
        <w:t>er</w:t>
      </w:r>
      <w:r w:rsidR="002E7522" w:rsidRPr="001A05DB">
        <w:rPr>
          <w:rFonts w:ascii="Arial" w:hAnsi="Arial" w:cs="Arial"/>
        </w:rPr>
        <w:t xml:space="preserve"> </w:t>
      </w:r>
      <w:r w:rsidRPr="001A05DB">
        <w:rPr>
          <w:rFonts w:ascii="Arial" w:hAnsi="Arial" w:cs="Arial"/>
        </w:rPr>
        <w:t>f</w:t>
      </w:r>
      <w:r w:rsidR="002E7522" w:rsidRPr="001A05DB">
        <w:rPr>
          <w:rFonts w:ascii="Arial" w:hAnsi="Arial" w:cs="Arial"/>
        </w:rPr>
        <w:t xml:space="preserve">évrier 2014, en application du décret </w:t>
      </w:r>
      <w:r w:rsidR="002E7522" w:rsidRPr="001A05DB">
        <w:rPr>
          <w:rFonts w:ascii="Arial" w:hAnsi="Arial" w:cs="Arial"/>
          <w:bCs/>
        </w:rPr>
        <w:t>n</w:t>
      </w:r>
      <w:r w:rsidR="002E7522" w:rsidRPr="001A05DB">
        <w:rPr>
          <w:rFonts w:ascii="Arial" w:hAnsi="Arial" w:cs="Arial"/>
        </w:rPr>
        <w:t>° 2014-72 du 29 janvier 2014.</w:t>
      </w:r>
    </w:p>
    <w:p w:rsidR="00DB68C3" w:rsidRDefault="00DB68C3" w:rsidP="003442ED">
      <w:pPr>
        <w:spacing w:after="0" w:line="240" w:lineRule="auto"/>
        <w:jc w:val="both"/>
        <w:rPr>
          <w:rFonts w:ascii="Arial" w:hAnsi="Arial" w:cs="Arial"/>
          <w:b/>
        </w:rPr>
      </w:pPr>
    </w:p>
    <w:p w:rsidR="002E7522" w:rsidRPr="001A05DB" w:rsidRDefault="002E7522" w:rsidP="003442ED">
      <w:pPr>
        <w:spacing w:after="0" w:line="240" w:lineRule="auto"/>
        <w:jc w:val="both"/>
        <w:rPr>
          <w:rFonts w:ascii="Arial" w:hAnsi="Arial" w:cs="Arial"/>
          <w:b/>
        </w:rPr>
      </w:pPr>
      <w:r w:rsidRPr="001A05DB">
        <w:rPr>
          <w:rFonts w:ascii="Arial" w:hAnsi="Arial" w:cs="Arial"/>
          <w:b/>
        </w:rPr>
        <w:t>Poursuite de la mise en œuvre du protocole d’accord du 31 mars 2011 portant sécurisation des parcours professionnels des agents contractuels et de la loi n°2012-347 du 12 mars 2012 relative à l'accès à l'emploi titulaire et à l'amélioration des conditions d'emploi des agents contractuels dans la fonction publique.</w:t>
      </w:r>
    </w:p>
    <w:p w:rsidR="002B4E2C" w:rsidRPr="001A05DB" w:rsidRDefault="002B4E2C" w:rsidP="002B4E2C">
      <w:pPr>
        <w:spacing w:after="0" w:line="240" w:lineRule="auto"/>
        <w:jc w:val="both"/>
        <w:rPr>
          <w:rFonts w:ascii="Arial" w:hAnsi="Arial" w:cs="Arial"/>
        </w:rPr>
      </w:pPr>
    </w:p>
    <w:p w:rsidR="002E7522" w:rsidRPr="00A63A6B" w:rsidRDefault="002B4E2C" w:rsidP="00A63A6B">
      <w:pPr>
        <w:spacing w:after="0" w:line="240" w:lineRule="auto"/>
        <w:jc w:val="both"/>
        <w:rPr>
          <w:rFonts w:ascii="Arial" w:hAnsi="Arial" w:cs="Arial"/>
        </w:rPr>
      </w:pPr>
      <w:r w:rsidRPr="001A05DB">
        <w:rPr>
          <w:rFonts w:ascii="Arial" w:hAnsi="Arial" w:cs="Arial"/>
          <w:b/>
        </w:rPr>
        <w:t>21,52M€</w:t>
      </w:r>
      <w:r w:rsidRPr="001A05DB">
        <w:rPr>
          <w:rFonts w:ascii="Arial" w:hAnsi="Arial" w:cs="Arial"/>
        </w:rPr>
        <w:t xml:space="preserve"> </w:t>
      </w:r>
      <w:r w:rsidR="009020A6">
        <w:rPr>
          <w:rFonts w:ascii="Arial" w:hAnsi="Arial" w:cs="Arial"/>
        </w:rPr>
        <w:t xml:space="preserve">de dotations AC, DAF et USLD sont </w:t>
      </w:r>
      <w:r w:rsidRPr="001A05DB">
        <w:rPr>
          <w:rFonts w:ascii="Arial" w:hAnsi="Arial" w:cs="Arial"/>
        </w:rPr>
        <w:t>délégué</w:t>
      </w:r>
      <w:r w:rsidR="009020A6">
        <w:rPr>
          <w:rFonts w:ascii="Arial" w:hAnsi="Arial" w:cs="Arial"/>
        </w:rPr>
        <w:t>e</w:t>
      </w:r>
      <w:r w:rsidRPr="001A05DB">
        <w:rPr>
          <w:rFonts w:ascii="Arial" w:hAnsi="Arial" w:cs="Arial"/>
        </w:rPr>
        <w:t xml:space="preserve">s </w:t>
      </w:r>
      <w:r w:rsidR="0099585E">
        <w:rPr>
          <w:rFonts w:ascii="Arial" w:hAnsi="Arial" w:cs="Arial"/>
        </w:rPr>
        <w:t xml:space="preserve">en reconductibles </w:t>
      </w:r>
      <w:r w:rsidRPr="001A05DB">
        <w:rPr>
          <w:rFonts w:ascii="Arial" w:hAnsi="Arial" w:cs="Arial"/>
        </w:rPr>
        <w:t xml:space="preserve">par cette circulaire </w:t>
      </w:r>
      <w:r w:rsidR="004872F7">
        <w:rPr>
          <w:rFonts w:ascii="Arial" w:hAnsi="Arial" w:cs="Arial"/>
        </w:rPr>
        <w:t xml:space="preserve">et </w:t>
      </w:r>
      <w:r w:rsidRPr="001A05DB">
        <w:rPr>
          <w:rFonts w:ascii="Arial" w:hAnsi="Arial" w:cs="Arial"/>
        </w:rPr>
        <w:t>viennent en complément des dotations versées en 2012 et 2013 afin de</w:t>
      </w:r>
      <w:r w:rsidR="002E7522" w:rsidRPr="001A05DB">
        <w:rPr>
          <w:rFonts w:ascii="Arial" w:hAnsi="Arial" w:cs="Arial"/>
        </w:rPr>
        <w:t xml:space="preserve"> poursuivre l’intégration des agents contractuels dans la fonction publique par la voie des recrutements réservés.</w:t>
      </w:r>
    </w:p>
    <w:p w:rsidR="00DB68C3" w:rsidRDefault="00DB68C3" w:rsidP="001A05DB">
      <w:pPr>
        <w:spacing w:after="0" w:line="240" w:lineRule="auto"/>
        <w:rPr>
          <w:rFonts w:ascii="Arial" w:hAnsi="Arial" w:cs="Arial"/>
          <w:b/>
        </w:rPr>
      </w:pPr>
    </w:p>
    <w:p w:rsidR="002E7522" w:rsidRPr="001A05DB" w:rsidRDefault="002E7522" w:rsidP="001A05DB">
      <w:pPr>
        <w:spacing w:after="0" w:line="240" w:lineRule="auto"/>
        <w:rPr>
          <w:rFonts w:ascii="Arial" w:hAnsi="Arial" w:cs="Arial"/>
          <w:b/>
        </w:rPr>
      </w:pPr>
      <w:r w:rsidRPr="001A05DB">
        <w:rPr>
          <w:rFonts w:ascii="Arial" w:hAnsi="Arial" w:cs="Arial"/>
          <w:b/>
        </w:rPr>
        <w:t xml:space="preserve">Poursuite de la mise en œuvre du protocole d’accord (LMD- réforme de la catégorie B) du 2 février 2010. </w:t>
      </w:r>
    </w:p>
    <w:p w:rsidR="002B4E2C" w:rsidRPr="001A05DB" w:rsidRDefault="002B4E2C" w:rsidP="002B4E2C">
      <w:pPr>
        <w:spacing w:after="0" w:line="240" w:lineRule="auto"/>
        <w:jc w:val="both"/>
        <w:rPr>
          <w:rFonts w:ascii="Arial" w:hAnsi="Arial" w:cs="Arial"/>
        </w:rPr>
      </w:pPr>
    </w:p>
    <w:p w:rsidR="002E7522" w:rsidRPr="001A05DB" w:rsidRDefault="009055F1" w:rsidP="002B4E2C">
      <w:pPr>
        <w:spacing w:after="0" w:line="240" w:lineRule="auto"/>
        <w:jc w:val="both"/>
        <w:rPr>
          <w:rFonts w:ascii="Arial" w:hAnsi="Arial" w:cs="Arial"/>
        </w:rPr>
      </w:pPr>
      <w:r w:rsidRPr="001A05DB">
        <w:rPr>
          <w:rFonts w:ascii="Arial" w:hAnsi="Arial" w:cs="Arial"/>
          <w:b/>
        </w:rPr>
        <w:t>1,30M€</w:t>
      </w:r>
      <w:r w:rsidRPr="001A05DB">
        <w:rPr>
          <w:rFonts w:ascii="Arial" w:hAnsi="Arial" w:cs="Arial"/>
        </w:rPr>
        <w:t xml:space="preserve"> de crédits </w:t>
      </w:r>
      <w:r w:rsidR="009020A6">
        <w:rPr>
          <w:rFonts w:ascii="Arial" w:hAnsi="Arial" w:cs="Arial"/>
        </w:rPr>
        <w:t xml:space="preserve">DAF et USLD </w:t>
      </w:r>
      <w:r w:rsidRPr="001A05DB">
        <w:rPr>
          <w:rFonts w:ascii="Arial" w:hAnsi="Arial" w:cs="Arial"/>
        </w:rPr>
        <w:t xml:space="preserve">sont délégués </w:t>
      </w:r>
      <w:r w:rsidR="0099585E">
        <w:rPr>
          <w:rFonts w:ascii="Arial" w:hAnsi="Arial" w:cs="Arial"/>
        </w:rPr>
        <w:t xml:space="preserve">en reconductibles </w:t>
      </w:r>
      <w:r w:rsidRPr="001A05DB">
        <w:rPr>
          <w:rFonts w:ascii="Arial" w:hAnsi="Arial" w:cs="Arial"/>
        </w:rPr>
        <w:t xml:space="preserve">pour </w:t>
      </w:r>
      <w:r w:rsidR="00E00116" w:rsidRPr="001A05DB">
        <w:rPr>
          <w:rFonts w:ascii="Arial" w:hAnsi="Arial" w:cs="Arial"/>
        </w:rPr>
        <w:t>l’intégration progressive</w:t>
      </w:r>
      <w:r w:rsidR="002E7522" w:rsidRPr="001A05DB">
        <w:rPr>
          <w:rFonts w:ascii="Arial" w:hAnsi="Arial" w:cs="Arial"/>
        </w:rPr>
        <w:t xml:space="preserve"> en catégorie </w:t>
      </w:r>
      <w:r w:rsidR="00E00116" w:rsidRPr="001A05DB">
        <w:rPr>
          <w:rFonts w:ascii="Arial" w:hAnsi="Arial" w:cs="Arial"/>
        </w:rPr>
        <w:t>A de quatre</w:t>
      </w:r>
      <w:r w:rsidR="002E7522" w:rsidRPr="001A05DB">
        <w:rPr>
          <w:rFonts w:ascii="Arial" w:hAnsi="Arial" w:cs="Arial"/>
        </w:rPr>
        <w:t xml:space="preserve"> corps de rééducation </w:t>
      </w:r>
      <w:r w:rsidR="002E7522" w:rsidRPr="001A05DB">
        <w:rPr>
          <w:rFonts w:ascii="Arial" w:eastAsia="Times New Roman" w:hAnsi="Arial" w:cs="Arial"/>
          <w:color w:val="000000"/>
          <w:lang w:eastAsia="fr-FR"/>
        </w:rPr>
        <w:t xml:space="preserve">à </w:t>
      </w:r>
      <w:r w:rsidR="002E7522" w:rsidRPr="001A05DB">
        <w:rPr>
          <w:rFonts w:ascii="Arial" w:hAnsi="Arial" w:cs="Arial"/>
        </w:rPr>
        <w:t>compter de septembre 2013 (corps des orthophonistes, orthoptistes, psychomotriciens, masseurs-kinésithérapeutes), l’intégration effective de ces corps étant en attente de publica</w:t>
      </w:r>
      <w:r w:rsidRPr="001A05DB">
        <w:rPr>
          <w:rFonts w:ascii="Arial" w:hAnsi="Arial" w:cs="Arial"/>
        </w:rPr>
        <w:t>tion des décrets les concernant.</w:t>
      </w:r>
    </w:p>
    <w:p w:rsidR="00E00116" w:rsidRPr="001A05DB" w:rsidRDefault="00E00116" w:rsidP="002B4E2C">
      <w:pPr>
        <w:spacing w:after="0" w:line="240" w:lineRule="auto"/>
        <w:jc w:val="both"/>
        <w:rPr>
          <w:rFonts w:ascii="Arial" w:hAnsi="Arial" w:cs="Arial"/>
        </w:rPr>
      </w:pPr>
    </w:p>
    <w:p w:rsidR="002B4E2C" w:rsidRPr="00A63A6B" w:rsidRDefault="009055F1" w:rsidP="00A63A6B">
      <w:pPr>
        <w:spacing w:after="0" w:line="240" w:lineRule="auto"/>
        <w:jc w:val="both"/>
        <w:rPr>
          <w:rFonts w:ascii="Arial" w:hAnsi="Arial" w:cs="Arial"/>
        </w:rPr>
      </w:pPr>
      <w:r w:rsidRPr="001A05DB">
        <w:rPr>
          <w:rFonts w:ascii="Arial" w:hAnsi="Arial" w:cs="Arial"/>
          <w:b/>
        </w:rPr>
        <w:t>0,16M€</w:t>
      </w:r>
      <w:r w:rsidRPr="001A05DB">
        <w:rPr>
          <w:rFonts w:ascii="Arial" w:hAnsi="Arial" w:cs="Arial"/>
        </w:rPr>
        <w:t xml:space="preserve"> sont versés </w:t>
      </w:r>
      <w:r w:rsidR="0099585E">
        <w:rPr>
          <w:rFonts w:ascii="Arial" w:hAnsi="Arial" w:cs="Arial"/>
        </w:rPr>
        <w:t xml:space="preserve">en </w:t>
      </w:r>
      <w:r w:rsidR="009020A6">
        <w:rPr>
          <w:rFonts w:ascii="Arial" w:hAnsi="Arial" w:cs="Arial"/>
        </w:rPr>
        <w:t xml:space="preserve">DAF et USLD </w:t>
      </w:r>
      <w:r w:rsidR="0099585E">
        <w:rPr>
          <w:rFonts w:ascii="Arial" w:hAnsi="Arial" w:cs="Arial"/>
        </w:rPr>
        <w:t xml:space="preserve">reconductibles </w:t>
      </w:r>
      <w:r w:rsidRPr="001A05DB">
        <w:rPr>
          <w:rFonts w:ascii="Arial" w:hAnsi="Arial" w:cs="Arial"/>
        </w:rPr>
        <w:t>au titre de la d</w:t>
      </w:r>
      <w:r w:rsidR="002E7522" w:rsidRPr="001A05DB">
        <w:rPr>
          <w:rFonts w:ascii="Arial" w:hAnsi="Arial" w:cs="Arial"/>
        </w:rPr>
        <w:t>ernière tranch</w:t>
      </w:r>
      <w:r w:rsidR="00E00116" w:rsidRPr="001A05DB">
        <w:rPr>
          <w:rFonts w:ascii="Arial" w:hAnsi="Arial" w:cs="Arial"/>
        </w:rPr>
        <w:t>e de financement de</w:t>
      </w:r>
      <w:r w:rsidR="002E7522" w:rsidRPr="001A05DB">
        <w:rPr>
          <w:rFonts w:ascii="Arial" w:hAnsi="Arial" w:cs="Arial"/>
        </w:rPr>
        <w:t xml:space="preserve"> l’augmentation du ratio promus-promouvables pour les personnels administratifs de la catégorie B de la FPH (adjoints des cadres hospitaliers et ass</w:t>
      </w:r>
      <w:r w:rsidR="0099585E">
        <w:rPr>
          <w:rFonts w:ascii="Arial" w:hAnsi="Arial" w:cs="Arial"/>
        </w:rPr>
        <w:t xml:space="preserve">istants médico-administratifs). </w:t>
      </w:r>
    </w:p>
    <w:p w:rsidR="00DB68C3" w:rsidRPr="001A05DB" w:rsidRDefault="00DB68C3" w:rsidP="00192183">
      <w:pPr>
        <w:spacing w:after="0" w:line="240" w:lineRule="auto"/>
        <w:jc w:val="both"/>
        <w:rPr>
          <w:rFonts w:ascii="Arial" w:hAnsi="Arial" w:cs="Arial"/>
        </w:rPr>
      </w:pPr>
    </w:p>
    <w:p w:rsidR="00A63A6B" w:rsidRDefault="00A63A6B" w:rsidP="000B07E2">
      <w:pPr>
        <w:spacing w:after="0" w:line="240" w:lineRule="auto"/>
        <w:jc w:val="both"/>
        <w:rPr>
          <w:rFonts w:ascii="Arial" w:hAnsi="Arial" w:cs="Arial"/>
        </w:rPr>
      </w:pPr>
    </w:p>
    <w:p w:rsidR="00697710" w:rsidRDefault="00697710" w:rsidP="000B07E2">
      <w:pPr>
        <w:spacing w:after="0" w:line="240" w:lineRule="auto"/>
        <w:jc w:val="both"/>
        <w:rPr>
          <w:rFonts w:ascii="Arial" w:hAnsi="Arial" w:cs="Arial"/>
        </w:rPr>
      </w:pPr>
    </w:p>
    <w:p w:rsidR="00697710" w:rsidRDefault="00697710" w:rsidP="000B07E2">
      <w:pPr>
        <w:spacing w:after="0" w:line="240" w:lineRule="auto"/>
        <w:jc w:val="both"/>
        <w:rPr>
          <w:rFonts w:ascii="Arial" w:hAnsi="Arial" w:cs="Arial"/>
        </w:rPr>
      </w:pPr>
    </w:p>
    <w:p w:rsidR="00697710" w:rsidRDefault="00697710" w:rsidP="000B07E2">
      <w:pPr>
        <w:spacing w:after="0" w:line="240" w:lineRule="auto"/>
        <w:jc w:val="both"/>
        <w:rPr>
          <w:rFonts w:ascii="Arial" w:hAnsi="Arial" w:cs="Arial"/>
        </w:rPr>
      </w:pPr>
    </w:p>
    <w:p w:rsidR="00697710" w:rsidRDefault="00697710" w:rsidP="000B07E2">
      <w:pPr>
        <w:spacing w:after="0" w:line="240" w:lineRule="auto"/>
        <w:jc w:val="both"/>
        <w:rPr>
          <w:rFonts w:ascii="Arial" w:hAnsi="Arial" w:cs="Arial"/>
        </w:rPr>
      </w:pPr>
    </w:p>
    <w:p w:rsidR="00697710" w:rsidRDefault="00697710" w:rsidP="000B07E2">
      <w:pPr>
        <w:spacing w:after="0" w:line="240" w:lineRule="auto"/>
        <w:jc w:val="both"/>
        <w:rPr>
          <w:rFonts w:ascii="Arial" w:hAnsi="Arial" w:cs="Arial"/>
        </w:rPr>
      </w:pPr>
    </w:p>
    <w:p w:rsidR="00695924" w:rsidRPr="0045527C" w:rsidRDefault="004A1043" w:rsidP="0045527C">
      <w:pPr>
        <w:pStyle w:val="Paragraphedeliste"/>
        <w:numPr>
          <w:ilvl w:val="0"/>
          <w:numId w:val="7"/>
        </w:numPr>
        <w:spacing w:after="0" w:line="240" w:lineRule="auto"/>
        <w:jc w:val="both"/>
        <w:rPr>
          <w:rFonts w:ascii="Arial" w:hAnsi="Arial" w:cs="Arial"/>
          <w:b/>
        </w:rPr>
      </w:pPr>
      <w:r w:rsidRPr="0045527C">
        <w:rPr>
          <w:rFonts w:ascii="Arial" w:hAnsi="Arial" w:cs="Arial"/>
          <w:b/>
        </w:rPr>
        <w:t xml:space="preserve">Les </w:t>
      </w:r>
      <w:r w:rsidR="00693486">
        <w:rPr>
          <w:rFonts w:ascii="Arial" w:hAnsi="Arial" w:cs="Arial"/>
          <w:b/>
        </w:rPr>
        <w:t xml:space="preserve">mesures catégorielles relatives aux </w:t>
      </w:r>
      <w:r w:rsidRPr="0045527C">
        <w:rPr>
          <w:rFonts w:ascii="Arial" w:hAnsi="Arial" w:cs="Arial"/>
          <w:b/>
        </w:rPr>
        <w:t>personnels non médicaux</w:t>
      </w:r>
    </w:p>
    <w:p w:rsidR="00DB68C3" w:rsidRPr="001A05DB" w:rsidRDefault="00DB68C3" w:rsidP="004E632C">
      <w:pPr>
        <w:spacing w:after="0" w:line="240" w:lineRule="auto"/>
        <w:jc w:val="both"/>
        <w:rPr>
          <w:rFonts w:ascii="Arial" w:hAnsi="Arial" w:cs="Arial"/>
        </w:rPr>
      </w:pPr>
    </w:p>
    <w:p w:rsidR="0081290D" w:rsidRPr="001A05DB" w:rsidRDefault="0081290D" w:rsidP="001A05DB">
      <w:pPr>
        <w:spacing w:after="0" w:line="240" w:lineRule="auto"/>
        <w:rPr>
          <w:rFonts w:ascii="Arial" w:hAnsi="Arial" w:cs="Arial"/>
          <w:b/>
        </w:rPr>
      </w:pPr>
      <w:r w:rsidRPr="001A05DB">
        <w:rPr>
          <w:rFonts w:ascii="Arial" w:hAnsi="Arial" w:cs="Arial"/>
          <w:b/>
        </w:rPr>
        <w:t>Les apprentis préparateurs en pharma</w:t>
      </w:r>
      <w:r w:rsidR="0070542A" w:rsidRPr="001A05DB">
        <w:rPr>
          <w:rFonts w:ascii="Arial" w:hAnsi="Arial" w:cs="Arial"/>
          <w:b/>
        </w:rPr>
        <w:t xml:space="preserve">cie hospitalière </w:t>
      </w:r>
    </w:p>
    <w:p w:rsidR="0081290D" w:rsidRPr="001A05DB" w:rsidRDefault="0081290D" w:rsidP="0081290D">
      <w:pPr>
        <w:spacing w:after="0" w:line="240" w:lineRule="auto"/>
        <w:jc w:val="both"/>
        <w:rPr>
          <w:rFonts w:ascii="Arial" w:hAnsi="Arial" w:cs="Arial"/>
        </w:rPr>
      </w:pPr>
    </w:p>
    <w:p w:rsidR="0081290D" w:rsidRDefault="0081290D" w:rsidP="0081290D">
      <w:pPr>
        <w:spacing w:after="0" w:line="240" w:lineRule="auto"/>
        <w:jc w:val="both"/>
        <w:rPr>
          <w:rFonts w:ascii="Arial" w:hAnsi="Arial" w:cs="Arial"/>
        </w:rPr>
      </w:pPr>
      <w:r w:rsidRPr="001A05DB">
        <w:rPr>
          <w:rFonts w:ascii="Arial" w:hAnsi="Arial" w:cs="Arial"/>
        </w:rPr>
        <w:t xml:space="preserve">Le ministère contribue pour la dernière année au financement des apprentis préparateurs en pharmacie hospitalière à hauteur de 6 000 € par apprenti recruté en établissement de santé. </w:t>
      </w:r>
      <w:r w:rsidR="00F17A7D">
        <w:rPr>
          <w:rFonts w:ascii="Arial" w:hAnsi="Arial" w:cs="Arial"/>
          <w:b/>
        </w:rPr>
        <w:t>0,89</w:t>
      </w:r>
      <w:r w:rsidR="004A1043" w:rsidRPr="001A05DB">
        <w:rPr>
          <w:rFonts w:ascii="Arial" w:hAnsi="Arial" w:cs="Arial"/>
          <w:b/>
        </w:rPr>
        <w:t>M€</w:t>
      </w:r>
      <w:r w:rsidR="004A1043" w:rsidRPr="001A05DB">
        <w:rPr>
          <w:rFonts w:ascii="Arial" w:hAnsi="Arial" w:cs="Arial"/>
        </w:rPr>
        <w:t xml:space="preserve"> </w:t>
      </w:r>
      <w:r w:rsidR="00534318" w:rsidRPr="001A05DB">
        <w:rPr>
          <w:rFonts w:ascii="Arial" w:hAnsi="Arial" w:cs="Arial"/>
        </w:rPr>
        <w:t xml:space="preserve">sont délégués </w:t>
      </w:r>
      <w:r w:rsidR="004A1043" w:rsidRPr="001A05DB">
        <w:rPr>
          <w:rFonts w:ascii="Arial" w:hAnsi="Arial" w:cs="Arial"/>
        </w:rPr>
        <w:t xml:space="preserve">en </w:t>
      </w:r>
      <w:r w:rsidR="00E0787D">
        <w:rPr>
          <w:rFonts w:ascii="Arial" w:hAnsi="Arial" w:cs="Arial"/>
        </w:rPr>
        <w:t xml:space="preserve">AC, DAF et USLD </w:t>
      </w:r>
      <w:r w:rsidR="004A1043" w:rsidRPr="001A05DB">
        <w:rPr>
          <w:rFonts w:ascii="Arial" w:hAnsi="Arial" w:cs="Arial"/>
        </w:rPr>
        <w:t>non reconductible</w:t>
      </w:r>
      <w:r w:rsidR="00534318" w:rsidRPr="001A05DB">
        <w:rPr>
          <w:rFonts w:ascii="Arial" w:hAnsi="Arial" w:cs="Arial"/>
        </w:rPr>
        <w:t>s</w:t>
      </w:r>
      <w:r w:rsidR="004A1043" w:rsidRPr="001A05DB">
        <w:rPr>
          <w:rFonts w:ascii="Arial" w:hAnsi="Arial" w:cs="Arial"/>
        </w:rPr>
        <w:t xml:space="preserve"> par la présente </w:t>
      </w:r>
      <w:r w:rsidRPr="001A05DB">
        <w:rPr>
          <w:rFonts w:ascii="Arial" w:hAnsi="Arial" w:cs="Arial"/>
        </w:rPr>
        <w:t xml:space="preserve">circulaire conformément à l’enquête menée par la DGOS en février 2014 auprès des neuf centres de formation des préparateurs en pharmacie hospitalière. </w:t>
      </w:r>
    </w:p>
    <w:p w:rsidR="00D35CAC" w:rsidRPr="001A05DB" w:rsidRDefault="00D35CAC" w:rsidP="0081290D">
      <w:pPr>
        <w:spacing w:after="0" w:line="240" w:lineRule="auto"/>
        <w:jc w:val="both"/>
        <w:rPr>
          <w:rFonts w:ascii="Arial" w:hAnsi="Arial" w:cs="Arial"/>
        </w:rPr>
      </w:pPr>
    </w:p>
    <w:p w:rsidR="009D5ADC" w:rsidRPr="001A05DB" w:rsidRDefault="009D5ADC" w:rsidP="009D5ADC">
      <w:pPr>
        <w:spacing w:after="0" w:line="240" w:lineRule="auto"/>
        <w:rPr>
          <w:rFonts w:ascii="Arial" w:hAnsi="Arial" w:cs="Arial"/>
          <w:b/>
        </w:rPr>
      </w:pPr>
      <w:r w:rsidRPr="001A05DB">
        <w:rPr>
          <w:rFonts w:ascii="Arial" w:hAnsi="Arial" w:cs="Arial"/>
          <w:b/>
        </w:rPr>
        <w:t>Réforme statutaire du corps des directeurs des soins</w:t>
      </w:r>
    </w:p>
    <w:p w:rsidR="009D5ADC" w:rsidRPr="001A05DB" w:rsidRDefault="009D5ADC" w:rsidP="009D5ADC">
      <w:pPr>
        <w:spacing w:after="0" w:line="240" w:lineRule="auto"/>
        <w:jc w:val="both"/>
        <w:rPr>
          <w:rFonts w:ascii="Arial" w:hAnsi="Arial" w:cs="Arial"/>
        </w:rPr>
      </w:pPr>
    </w:p>
    <w:p w:rsidR="009D5ADC" w:rsidRPr="001A05DB" w:rsidRDefault="009D5ADC" w:rsidP="009D5ADC">
      <w:pPr>
        <w:spacing w:after="0" w:line="240" w:lineRule="auto"/>
        <w:jc w:val="both"/>
        <w:rPr>
          <w:rFonts w:ascii="Arial" w:hAnsi="Arial" w:cs="Arial"/>
        </w:rPr>
      </w:pPr>
      <w:r w:rsidRPr="001A05DB">
        <w:rPr>
          <w:rFonts w:ascii="Arial" w:hAnsi="Arial" w:cs="Arial"/>
        </w:rPr>
        <w:t xml:space="preserve">Les crédits alloués, à hauteur de </w:t>
      </w:r>
      <w:r w:rsidRPr="004872F7">
        <w:rPr>
          <w:rFonts w:ascii="Arial" w:hAnsi="Arial" w:cs="Arial"/>
          <w:b/>
        </w:rPr>
        <w:t>0,39M€</w:t>
      </w:r>
      <w:r w:rsidRPr="001A05DB">
        <w:rPr>
          <w:rFonts w:ascii="Arial" w:hAnsi="Arial" w:cs="Arial"/>
        </w:rPr>
        <w:t xml:space="preserve"> en DAF reconductible s’attachent à financer la revalorisation des grilles indiciaires du corps des directeurs des soins et des emplois fonctionnels de directeurs des soins en application des décrets n°2014-7, 2014-8 et 2014-9 du 7 janvier 2014, prenant effet le 10 janvier 2014. </w:t>
      </w:r>
    </w:p>
    <w:p w:rsidR="009D5ADC" w:rsidRDefault="009D5ADC" w:rsidP="004E632C">
      <w:pPr>
        <w:spacing w:after="0" w:line="240" w:lineRule="auto"/>
        <w:jc w:val="both"/>
        <w:rPr>
          <w:rFonts w:ascii="Arial" w:hAnsi="Arial" w:cs="Arial"/>
        </w:rPr>
      </w:pPr>
    </w:p>
    <w:p w:rsidR="009732B1" w:rsidRPr="001A05DB" w:rsidRDefault="009732B1" w:rsidP="004E632C">
      <w:pPr>
        <w:spacing w:after="0" w:line="240" w:lineRule="auto"/>
        <w:jc w:val="both"/>
        <w:rPr>
          <w:rFonts w:ascii="Arial" w:hAnsi="Arial" w:cs="Arial"/>
        </w:rPr>
      </w:pPr>
    </w:p>
    <w:p w:rsidR="00695924" w:rsidRPr="001A05DB" w:rsidRDefault="00695924" w:rsidP="004E632C">
      <w:pPr>
        <w:spacing w:after="0" w:line="240" w:lineRule="auto"/>
        <w:jc w:val="both"/>
        <w:rPr>
          <w:rFonts w:ascii="Arial" w:hAnsi="Arial" w:cs="Arial"/>
        </w:rPr>
      </w:pPr>
    </w:p>
    <w:p w:rsidR="00695924" w:rsidRPr="00693486" w:rsidRDefault="004A1043" w:rsidP="004E632C">
      <w:pPr>
        <w:pStyle w:val="Paragraphedeliste"/>
        <w:numPr>
          <w:ilvl w:val="0"/>
          <w:numId w:val="7"/>
        </w:numPr>
        <w:spacing w:after="0" w:line="240" w:lineRule="auto"/>
        <w:jc w:val="both"/>
        <w:rPr>
          <w:rFonts w:ascii="Arial" w:hAnsi="Arial" w:cs="Arial"/>
          <w:b/>
        </w:rPr>
      </w:pPr>
      <w:r w:rsidRPr="00693486">
        <w:rPr>
          <w:rFonts w:ascii="Arial" w:hAnsi="Arial" w:cs="Arial"/>
          <w:b/>
        </w:rPr>
        <w:t xml:space="preserve">Les </w:t>
      </w:r>
      <w:r w:rsidR="00693486">
        <w:rPr>
          <w:rFonts w:ascii="Arial" w:hAnsi="Arial" w:cs="Arial"/>
          <w:b/>
        </w:rPr>
        <w:t xml:space="preserve">mesures catégorielles relatives aux </w:t>
      </w:r>
      <w:r w:rsidRPr="00693486">
        <w:rPr>
          <w:rFonts w:ascii="Arial" w:hAnsi="Arial" w:cs="Arial"/>
          <w:b/>
        </w:rPr>
        <w:t>personnels médicaux</w:t>
      </w:r>
    </w:p>
    <w:p w:rsidR="00DB68C3" w:rsidRPr="001A05DB" w:rsidRDefault="00DB68C3" w:rsidP="004E632C">
      <w:pPr>
        <w:spacing w:after="0" w:line="240" w:lineRule="auto"/>
        <w:jc w:val="both"/>
        <w:rPr>
          <w:rFonts w:ascii="Arial" w:hAnsi="Arial" w:cs="Arial"/>
        </w:rPr>
      </w:pPr>
    </w:p>
    <w:p w:rsidR="004E632C" w:rsidRPr="001A05DB" w:rsidRDefault="004E632C" w:rsidP="001A05DB">
      <w:pPr>
        <w:spacing w:after="0" w:line="240" w:lineRule="auto"/>
        <w:rPr>
          <w:rFonts w:ascii="Arial" w:hAnsi="Arial" w:cs="Arial"/>
          <w:b/>
        </w:rPr>
      </w:pPr>
      <w:r w:rsidRPr="001A05DB">
        <w:rPr>
          <w:rFonts w:ascii="Arial" w:hAnsi="Arial" w:cs="Arial"/>
          <w:b/>
        </w:rPr>
        <w:t xml:space="preserve">Les assistants spécialistes post-internat et postes partagés </w:t>
      </w:r>
    </w:p>
    <w:p w:rsidR="0081290D" w:rsidRPr="001A05DB" w:rsidRDefault="0081290D" w:rsidP="004E632C">
      <w:pPr>
        <w:spacing w:after="0" w:line="240" w:lineRule="auto"/>
        <w:jc w:val="both"/>
        <w:rPr>
          <w:rFonts w:ascii="Arial" w:hAnsi="Arial" w:cs="Arial"/>
        </w:rPr>
      </w:pPr>
    </w:p>
    <w:p w:rsidR="004E632C" w:rsidRPr="001A05DB" w:rsidRDefault="004E632C" w:rsidP="004E632C">
      <w:pPr>
        <w:spacing w:after="0" w:line="240" w:lineRule="auto"/>
        <w:jc w:val="both"/>
        <w:rPr>
          <w:rFonts w:ascii="Arial" w:hAnsi="Arial" w:cs="Arial"/>
        </w:rPr>
      </w:pPr>
      <w:r w:rsidRPr="001A05DB">
        <w:rPr>
          <w:rFonts w:ascii="Arial" w:hAnsi="Arial" w:cs="Arial"/>
        </w:rPr>
        <w:t xml:space="preserve">La présente circulaire prévoit le versement </w:t>
      </w:r>
      <w:r w:rsidR="00F76424" w:rsidRPr="001A05DB">
        <w:rPr>
          <w:rFonts w:ascii="Arial" w:hAnsi="Arial" w:cs="Arial"/>
        </w:rPr>
        <w:t xml:space="preserve">de </w:t>
      </w:r>
      <w:r w:rsidR="00F76424" w:rsidRPr="001A05DB">
        <w:rPr>
          <w:rFonts w:ascii="Arial" w:hAnsi="Arial" w:cs="Arial"/>
          <w:b/>
        </w:rPr>
        <w:t>22,07M€</w:t>
      </w:r>
      <w:r w:rsidR="00F76424" w:rsidRPr="001A05DB">
        <w:rPr>
          <w:rFonts w:ascii="Arial" w:hAnsi="Arial" w:cs="Arial"/>
        </w:rPr>
        <w:t xml:space="preserve"> </w:t>
      </w:r>
      <w:r w:rsidR="00080590">
        <w:rPr>
          <w:rFonts w:ascii="Arial" w:hAnsi="Arial" w:cs="Arial"/>
        </w:rPr>
        <w:t xml:space="preserve">de </w:t>
      </w:r>
      <w:r w:rsidR="00694ED8">
        <w:rPr>
          <w:rFonts w:ascii="Arial" w:hAnsi="Arial" w:cs="Arial"/>
        </w:rPr>
        <w:t>dotations</w:t>
      </w:r>
      <w:r w:rsidR="00080590">
        <w:rPr>
          <w:rFonts w:ascii="Arial" w:hAnsi="Arial" w:cs="Arial"/>
        </w:rPr>
        <w:t xml:space="preserve"> </w:t>
      </w:r>
      <w:r w:rsidR="00E0787D">
        <w:rPr>
          <w:rFonts w:ascii="Arial" w:hAnsi="Arial" w:cs="Arial"/>
        </w:rPr>
        <w:t xml:space="preserve">AC </w:t>
      </w:r>
      <w:r w:rsidR="00080590">
        <w:rPr>
          <w:rFonts w:ascii="Arial" w:hAnsi="Arial" w:cs="Arial"/>
        </w:rPr>
        <w:t xml:space="preserve">non reconductibles </w:t>
      </w:r>
      <w:r w:rsidRPr="001A05DB">
        <w:rPr>
          <w:rFonts w:ascii="Arial" w:hAnsi="Arial" w:cs="Arial"/>
        </w:rPr>
        <w:t>pour les postes d’assistants spécialistes post internat et postes partagés financés par les ARS au titre des vagues 4 (2012-2014) et 5 (2013-2015) conformément à l’instruction DGOS-RH1 du 2 juillet 2012.</w:t>
      </w:r>
    </w:p>
    <w:p w:rsidR="004E632C" w:rsidRPr="001A05DB" w:rsidRDefault="004E632C" w:rsidP="004E632C">
      <w:pPr>
        <w:spacing w:after="0" w:line="240" w:lineRule="auto"/>
        <w:jc w:val="both"/>
        <w:rPr>
          <w:rFonts w:ascii="Arial" w:hAnsi="Arial" w:cs="Arial"/>
        </w:rPr>
      </w:pPr>
      <w:r w:rsidRPr="001A05DB">
        <w:rPr>
          <w:rFonts w:ascii="Arial" w:hAnsi="Arial" w:cs="Arial"/>
        </w:rPr>
        <w:t>Les dotations seront abondées en 2ème circulaire 2014 au regard de la répartition définitive des postes qui seront attribués aux ARS pour la vague 6 de novembre 2014.</w:t>
      </w:r>
    </w:p>
    <w:p w:rsidR="004E632C" w:rsidRPr="001A05DB" w:rsidRDefault="004E632C" w:rsidP="004E632C">
      <w:pPr>
        <w:spacing w:after="0" w:line="240" w:lineRule="auto"/>
        <w:jc w:val="both"/>
        <w:rPr>
          <w:rFonts w:ascii="Arial" w:hAnsi="Arial" w:cs="Arial"/>
        </w:rPr>
      </w:pPr>
      <w:r w:rsidRPr="001A05DB">
        <w:rPr>
          <w:rFonts w:ascii="Arial" w:hAnsi="Arial" w:cs="Arial"/>
        </w:rPr>
        <w:t>A noter que la rémunération moyenne de référence prise en compte pour la budgétisation de ces postes a été revalorisée afin de tenir compte du montant de l’indemnité d’exercice dans plusieurs établissements. Le coût total annuel passe donc de 57 600 € à 59 490 € (coût brut annuel chargé d’un poste). Ce montant est majoré pour l’outre-mer.</w:t>
      </w:r>
    </w:p>
    <w:p w:rsidR="00DB68C3" w:rsidRPr="001A05DB" w:rsidRDefault="00DB68C3" w:rsidP="004E632C">
      <w:pPr>
        <w:spacing w:after="0" w:line="240" w:lineRule="auto"/>
        <w:jc w:val="both"/>
        <w:rPr>
          <w:rFonts w:ascii="Arial" w:hAnsi="Arial" w:cs="Arial"/>
        </w:rPr>
      </w:pPr>
    </w:p>
    <w:p w:rsidR="004E632C" w:rsidRPr="001A05DB" w:rsidRDefault="004E632C" w:rsidP="001A05DB">
      <w:pPr>
        <w:spacing w:after="0" w:line="240" w:lineRule="auto"/>
        <w:rPr>
          <w:rFonts w:ascii="Arial" w:hAnsi="Arial" w:cs="Arial"/>
          <w:b/>
        </w:rPr>
      </w:pPr>
      <w:r w:rsidRPr="001A05DB">
        <w:rPr>
          <w:rFonts w:ascii="Arial" w:hAnsi="Arial" w:cs="Arial"/>
          <w:b/>
        </w:rPr>
        <w:t>La rémunération des internes sur la MERRI (part variable)</w:t>
      </w:r>
    </w:p>
    <w:p w:rsidR="0081290D" w:rsidRPr="001A05DB" w:rsidRDefault="0081290D" w:rsidP="004E632C">
      <w:pPr>
        <w:spacing w:after="0" w:line="240" w:lineRule="auto"/>
        <w:jc w:val="both"/>
        <w:rPr>
          <w:rFonts w:ascii="Arial" w:hAnsi="Arial" w:cs="Arial"/>
        </w:rPr>
      </w:pPr>
    </w:p>
    <w:p w:rsidR="00404EF3" w:rsidRDefault="004E632C" w:rsidP="004E632C">
      <w:pPr>
        <w:spacing w:after="0" w:line="240" w:lineRule="auto"/>
        <w:jc w:val="both"/>
        <w:rPr>
          <w:rFonts w:ascii="Arial" w:hAnsi="Arial" w:cs="Arial"/>
        </w:rPr>
      </w:pPr>
      <w:r w:rsidRPr="001A05DB">
        <w:rPr>
          <w:rFonts w:ascii="Arial" w:hAnsi="Arial" w:cs="Arial"/>
        </w:rPr>
        <w:t xml:space="preserve">Comme pour les campagnes précédentes, la totalité des </w:t>
      </w:r>
      <w:r w:rsidR="006D5B85">
        <w:rPr>
          <w:rFonts w:ascii="Arial" w:hAnsi="Arial" w:cs="Arial"/>
        </w:rPr>
        <w:t>dotations</w:t>
      </w:r>
      <w:r w:rsidRPr="001A05DB">
        <w:rPr>
          <w:rFonts w:ascii="Arial" w:hAnsi="Arial" w:cs="Arial"/>
        </w:rPr>
        <w:t xml:space="preserve"> destiné</w:t>
      </w:r>
      <w:r w:rsidR="006D5B85">
        <w:rPr>
          <w:rFonts w:ascii="Arial" w:hAnsi="Arial" w:cs="Arial"/>
        </w:rPr>
        <w:t>e</w:t>
      </w:r>
      <w:r w:rsidRPr="001A05DB">
        <w:rPr>
          <w:rFonts w:ascii="Arial" w:hAnsi="Arial" w:cs="Arial"/>
        </w:rPr>
        <w:t xml:space="preserve">s au financement des internes est déléguée </w:t>
      </w:r>
      <w:r w:rsidR="000F04AB" w:rsidRPr="001A05DB">
        <w:rPr>
          <w:rFonts w:ascii="Arial" w:hAnsi="Arial" w:cs="Arial"/>
        </w:rPr>
        <w:t>par la première c</w:t>
      </w:r>
      <w:r w:rsidRPr="001A05DB">
        <w:rPr>
          <w:rFonts w:ascii="Arial" w:hAnsi="Arial" w:cs="Arial"/>
        </w:rPr>
        <w:t xml:space="preserve">irculaire </w:t>
      </w:r>
      <w:r w:rsidR="000F04AB" w:rsidRPr="001A05DB">
        <w:rPr>
          <w:rFonts w:ascii="Arial" w:hAnsi="Arial" w:cs="Arial"/>
        </w:rPr>
        <w:t xml:space="preserve">budgétaire </w:t>
      </w:r>
      <w:r w:rsidRPr="001A05DB">
        <w:rPr>
          <w:rFonts w:ascii="Arial" w:hAnsi="Arial" w:cs="Arial"/>
        </w:rPr>
        <w:t>2014</w:t>
      </w:r>
      <w:r w:rsidR="001C3FE3" w:rsidRPr="001A05DB">
        <w:rPr>
          <w:rFonts w:ascii="Arial" w:hAnsi="Arial" w:cs="Arial"/>
        </w:rPr>
        <w:t xml:space="preserve">, soit </w:t>
      </w:r>
      <w:r w:rsidR="001C3FE3" w:rsidRPr="001A05DB">
        <w:rPr>
          <w:rFonts w:ascii="Arial" w:hAnsi="Arial" w:cs="Arial"/>
          <w:b/>
        </w:rPr>
        <w:t>39</w:t>
      </w:r>
      <w:r w:rsidR="000E444E">
        <w:rPr>
          <w:rFonts w:ascii="Arial" w:hAnsi="Arial" w:cs="Arial"/>
          <w:b/>
        </w:rPr>
        <w:t>9</w:t>
      </w:r>
      <w:r w:rsidR="001C3FE3" w:rsidRPr="001A05DB">
        <w:rPr>
          <w:rFonts w:ascii="Arial" w:hAnsi="Arial" w:cs="Arial"/>
          <w:b/>
        </w:rPr>
        <w:t>,</w:t>
      </w:r>
      <w:r w:rsidR="000E444E">
        <w:rPr>
          <w:rFonts w:ascii="Arial" w:hAnsi="Arial" w:cs="Arial"/>
          <w:b/>
        </w:rPr>
        <w:t>18</w:t>
      </w:r>
      <w:r w:rsidR="001C3FE3" w:rsidRPr="001A05DB">
        <w:rPr>
          <w:rFonts w:ascii="Arial" w:hAnsi="Arial" w:cs="Arial"/>
          <w:b/>
        </w:rPr>
        <w:t>M€</w:t>
      </w:r>
      <w:r w:rsidR="00F204D1">
        <w:rPr>
          <w:rFonts w:ascii="Arial" w:hAnsi="Arial" w:cs="Arial"/>
          <w:b/>
        </w:rPr>
        <w:t xml:space="preserve"> </w:t>
      </w:r>
      <w:r w:rsidR="00F204D1" w:rsidRPr="00F204D1">
        <w:rPr>
          <w:rFonts w:ascii="Arial" w:hAnsi="Arial" w:cs="Arial"/>
        </w:rPr>
        <w:t>en cré</w:t>
      </w:r>
      <w:r w:rsidR="006D5B85">
        <w:rPr>
          <w:rFonts w:ascii="Arial" w:hAnsi="Arial" w:cs="Arial"/>
        </w:rPr>
        <w:t xml:space="preserve">dits </w:t>
      </w:r>
      <w:r w:rsidR="00F204D1" w:rsidRPr="00F204D1">
        <w:rPr>
          <w:rFonts w:ascii="Arial" w:hAnsi="Arial" w:cs="Arial"/>
        </w:rPr>
        <w:t>JPE</w:t>
      </w:r>
      <w:r w:rsidRPr="001A05DB">
        <w:rPr>
          <w:rFonts w:ascii="Arial" w:hAnsi="Arial" w:cs="Arial"/>
        </w:rPr>
        <w:t>. Cette dotation permet de compenser de manière forfaitaire et identique les émoluments versés à chaque interne en médecine, pharmacie et odontologie. La compensation varie en fonction de l’ancienneté de l’interne dans son cursus de formation et correspond à 16 000 €/an pour un interne de 1</w:t>
      </w:r>
      <w:r w:rsidRPr="001A05DB">
        <w:rPr>
          <w:rFonts w:ascii="Arial" w:hAnsi="Arial" w:cs="Arial"/>
          <w:vertAlign w:val="superscript"/>
        </w:rPr>
        <w:t>ère</w:t>
      </w:r>
      <w:r w:rsidRPr="001A05DB">
        <w:rPr>
          <w:rFonts w:ascii="Arial" w:hAnsi="Arial" w:cs="Arial"/>
        </w:rPr>
        <w:t>, 2</w:t>
      </w:r>
      <w:r w:rsidRPr="001A05DB">
        <w:rPr>
          <w:rFonts w:ascii="Arial" w:hAnsi="Arial" w:cs="Arial"/>
          <w:vertAlign w:val="superscript"/>
        </w:rPr>
        <w:t>ème</w:t>
      </w:r>
      <w:r w:rsidRPr="001A05DB">
        <w:rPr>
          <w:rFonts w:ascii="Arial" w:hAnsi="Arial" w:cs="Arial"/>
        </w:rPr>
        <w:t xml:space="preserve"> ou 3</w:t>
      </w:r>
      <w:r w:rsidRPr="001A05DB">
        <w:rPr>
          <w:rFonts w:ascii="Arial" w:hAnsi="Arial" w:cs="Arial"/>
          <w:vertAlign w:val="superscript"/>
        </w:rPr>
        <w:t>ème</w:t>
      </w:r>
      <w:r w:rsidRPr="001A05DB">
        <w:rPr>
          <w:rFonts w:ascii="Arial" w:hAnsi="Arial" w:cs="Arial"/>
        </w:rPr>
        <w:t xml:space="preserve"> année et à 8 000 €/an pour un interne de 4</w:t>
      </w:r>
      <w:r w:rsidRPr="001A05DB">
        <w:rPr>
          <w:rFonts w:ascii="Arial" w:hAnsi="Arial" w:cs="Arial"/>
          <w:vertAlign w:val="superscript"/>
        </w:rPr>
        <w:t>ème</w:t>
      </w:r>
      <w:r w:rsidRPr="001A05DB">
        <w:rPr>
          <w:rFonts w:ascii="Arial" w:hAnsi="Arial" w:cs="Arial"/>
        </w:rPr>
        <w:t xml:space="preserve"> ou 5</w:t>
      </w:r>
      <w:r w:rsidRPr="001A05DB">
        <w:rPr>
          <w:rFonts w:ascii="Arial" w:hAnsi="Arial" w:cs="Arial"/>
          <w:vertAlign w:val="superscript"/>
        </w:rPr>
        <w:t>ème</w:t>
      </w:r>
      <w:r w:rsidRPr="001A05DB">
        <w:rPr>
          <w:rFonts w:ascii="Arial" w:hAnsi="Arial" w:cs="Arial"/>
        </w:rPr>
        <w:t xml:space="preserve"> année. </w:t>
      </w:r>
    </w:p>
    <w:p w:rsidR="009D52DD" w:rsidRDefault="009D52DD" w:rsidP="004E632C">
      <w:pPr>
        <w:spacing w:after="0" w:line="240" w:lineRule="auto"/>
        <w:jc w:val="both"/>
        <w:rPr>
          <w:rFonts w:ascii="Arial" w:hAnsi="Arial" w:cs="Arial"/>
        </w:rPr>
      </w:pPr>
    </w:p>
    <w:p w:rsidR="004E632C" w:rsidRPr="001A05DB" w:rsidRDefault="004E632C" w:rsidP="004E632C">
      <w:pPr>
        <w:spacing w:after="0" w:line="240" w:lineRule="auto"/>
        <w:jc w:val="both"/>
        <w:rPr>
          <w:rFonts w:ascii="Arial" w:hAnsi="Arial" w:cs="Arial"/>
        </w:rPr>
      </w:pPr>
      <w:r w:rsidRPr="001A05DB">
        <w:rPr>
          <w:rFonts w:ascii="Arial" w:hAnsi="Arial" w:cs="Arial"/>
        </w:rPr>
        <w:t>Ces forfaits ont été calculés par référence à la rémunération moyenne des internes :</w:t>
      </w:r>
    </w:p>
    <w:p w:rsidR="0081290D" w:rsidRPr="001A05DB" w:rsidRDefault="0081290D" w:rsidP="004E632C">
      <w:pPr>
        <w:spacing w:after="0" w:line="240" w:lineRule="auto"/>
        <w:jc w:val="both"/>
        <w:rPr>
          <w:rFonts w:ascii="Arial" w:hAnsi="Arial" w:cs="Arial"/>
        </w:rPr>
      </w:pPr>
    </w:p>
    <w:tbl>
      <w:tblPr>
        <w:tblStyle w:val="Grille"/>
        <w:tblW w:w="0" w:type="auto"/>
        <w:tblInd w:w="250" w:type="dxa"/>
        <w:tblLook w:val="04A0"/>
      </w:tblPr>
      <w:tblGrid>
        <w:gridCol w:w="1276"/>
        <w:gridCol w:w="2158"/>
        <w:gridCol w:w="1598"/>
        <w:gridCol w:w="1418"/>
        <w:gridCol w:w="1843"/>
      </w:tblGrid>
      <w:tr w:rsidR="004E632C" w:rsidRPr="001A05DB">
        <w:tc>
          <w:tcPr>
            <w:tcW w:w="1276" w:type="dxa"/>
          </w:tcPr>
          <w:p w:rsidR="004E632C" w:rsidRPr="001A05DB" w:rsidRDefault="004E632C" w:rsidP="004E632C">
            <w:pPr>
              <w:jc w:val="center"/>
              <w:rPr>
                <w:rFonts w:ascii="Arial" w:hAnsi="Arial" w:cs="Arial"/>
              </w:rPr>
            </w:pPr>
            <w:r w:rsidRPr="001A05DB">
              <w:rPr>
                <w:rFonts w:ascii="Arial" w:hAnsi="Arial" w:cs="Arial"/>
              </w:rPr>
              <w:t>Année du cursus</w:t>
            </w:r>
          </w:p>
        </w:tc>
        <w:tc>
          <w:tcPr>
            <w:tcW w:w="2158" w:type="dxa"/>
          </w:tcPr>
          <w:p w:rsidR="004E632C" w:rsidRPr="001A05DB" w:rsidRDefault="004E632C" w:rsidP="004E632C">
            <w:pPr>
              <w:jc w:val="center"/>
              <w:rPr>
                <w:rFonts w:ascii="Arial" w:hAnsi="Arial" w:cs="Arial"/>
              </w:rPr>
            </w:pPr>
            <w:r w:rsidRPr="001A05DB">
              <w:rPr>
                <w:rFonts w:ascii="Arial" w:hAnsi="Arial" w:cs="Arial"/>
              </w:rPr>
              <w:t>Coût total annuel charges employeur 40 % incluses</w:t>
            </w:r>
          </w:p>
        </w:tc>
        <w:tc>
          <w:tcPr>
            <w:tcW w:w="1527" w:type="dxa"/>
          </w:tcPr>
          <w:p w:rsidR="004E632C" w:rsidRPr="001A05DB" w:rsidRDefault="004E632C" w:rsidP="004E632C">
            <w:pPr>
              <w:jc w:val="center"/>
              <w:rPr>
                <w:rFonts w:ascii="Arial" w:hAnsi="Arial" w:cs="Arial"/>
              </w:rPr>
            </w:pPr>
            <w:r w:rsidRPr="001A05DB">
              <w:rPr>
                <w:rFonts w:ascii="Arial" w:hAnsi="Arial" w:cs="Arial"/>
              </w:rPr>
              <w:t>Rémunération moyenne</w:t>
            </w:r>
          </w:p>
        </w:tc>
        <w:tc>
          <w:tcPr>
            <w:tcW w:w="1418" w:type="dxa"/>
          </w:tcPr>
          <w:p w:rsidR="004E632C" w:rsidRPr="001A05DB" w:rsidRDefault="004E632C" w:rsidP="004E632C">
            <w:pPr>
              <w:jc w:val="center"/>
              <w:rPr>
                <w:rFonts w:ascii="Arial" w:hAnsi="Arial" w:cs="Arial"/>
              </w:rPr>
            </w:pPr>
            <w:r w:rsidRPr="001A05DB">
              <w:rPr>
                <w:rFonts w:ascii="Arial" w:hAnsi="Arial" w:cs="Arial"/>
              </w:rPr>
              <w:t>Taux de prise en charge</w:t>
            </w:r>
          </w:p>
        </w:tc>
        <w:tc>
          <w:tcPr>
            <w:tcW w:w="1843" w:type="dxa"/>
          </w:tcPr>
          <w:p w:rsidR="004E632C" w:rsidRPr="001A05DB" w:rsidRDefault="004E632C" w:rsidP="004E632C">
            <w:pPr>
              <w:jc w:val="center"/>
              <w:rPr>
                <w:rFonts w:ascii="Arial" w:hAnsi="Arial" w:cs="Arial"/>
              </w:rPr>
            </w:pPr>
            <w:r w:rsidRPr="001A05DB">
              <w:rPr>
                <w:rFonts w:ascii="Arial" w:hAnsi="Arial" w:cs="Arial"/>
              </w:rPr>
              <w:t>Forfait annuel</w:t>
            </w:r>
          </w:p>
        </w:tc>
      </w:tr>
      <w:tr w:rsidR="004E632C" w:rsidRPr="001A05DB">
        <w:tc>
          <w:tcPr>
            <w:tcW w:w="1276" w:type="dxa"/>
          </w:tcPr>
          <w:p w:rsidR="004E632C" w:rsidRPr="001A05DB" w:rsidRDefault="004E632C" w:rsidP="004E632C">
            <w:pPr>
              <w:jc w:val="both"/>
              <w:rPr>
                <w:rFonts w:ascii="Arial" w:hAnsi="Arial" w:cs="Arial"/>
              </w:rPr>
            </w:pPr>
            <w:r w:rsidRPr="001A05DB">
              <w:rPr>
                <w:rFonts w:ascii="Arial" w:hAnsi="Arial" w:cs="Arial"/>
              </w:rPr>
              <w:t>Année 1</w:t>
            </w:r>
          </w:p>
        </w:tc>
        <w:tc>
          <w:tcPr>
            <w:tcW w:w="2158" w:type="dxa"/>
          </w:tcPr>
          <w:p w:rsidR="004E632C" w:rsidRPr="001A05DB" w:rsidRDefault="004E632C" w:rsidP="004E632C">
            <w:pPr>
              <w:jc w:val="both"/>
              <w:rPr>
                <w:rFonts w:ascii="Arial" w:hAnsi="Arial" w:cs="Arial"/>
              </w:rPr>
            </w:pPr>
            <w:r w:rsidRPr="001A05DB">
              <w:rPr>
                <w:rFonts w:ascii="Arial" w:hAnsi="Arial" w:cs="Arial"/>
              </w:rPr>
              <w:t>29 345 euros</w:t>
            </w:r>
          </w:p>
        </w:tc>
        <w:tc>
          <w:tcPr>
            <w:tcW w:w="1527" w:type="dxa"/>
            <w:vMerge w:val="restart"/>
          </w:tcPr>
          <w:p w:rsidR="004E632C" w:rsidRPr="001A05DB" w:rsidRDefault="004E632C" w:rsidP="004E632C">
            <w:pPr>
              <w:jc w:val="both"/>
              <w:rPr>
                <w:rFonts w:ascii="Arial" w:hAnsi="Arial" w:cs="Arial"/>
              </w:rPr>
            </w:pPr>
          </w:p>
          <w:p w:rsidR="004E632C" w:rsidRPr="001A05DB" w:rsidRDefault="004E632C" w:rsidP="004E632C">
            <w:pPr>
              <w:jc w:val="both"/>
              <w:rPr>
                <w:rFonts w:ascii="Arial" w:hAnsi="Arial" w:cs="Arial"/>
              </w:rPr>
            </w:pPr>
            <w:r w:rsidRPr="001A05DB">
              <w:rPr>
                <w:rFonts w:ascii="Arial" w:hAnsi="Arial" w:cs="Arial"/>
              </w:rPr>
              <w:t>32 218 euros</w:t>
            </w:r>
          </w:p>
        </w:tc>
        <w:tc>
          <w:tcPr>
            <w:tcW w:w="1418" w:type="dxa"/>
            <w:vMerge w:val="restart"/>
          </w:tcPr>
          <w:p w:rsidR="004E632C" w:rsidRPr="001A05DB" w:rsidRDefault="004E632C" w:rsidP="004E632C">
            <w:pPr>
              <w:jc w:val="both"/>
              <w:rPr>
                <w:rFonts w:ascii="Arial" w:hAnsi="Arial" w:cs="Arial"/>
              </w:rPr>
            </w:pPr>
          </w:p>
          <w:p w:rsidR="004E632C" w:rsidRPr="001A05DB" w:rsidRDefault="004E632C" w:rsidP="004E632C">
            <w:pPr>
              <w:jc w:val="both"/>
              <w:rPr>
                <w:rFonts w:ascii="Arial" w:hAnsi="Arial" w:cs="Arial"/>
              </w:rPr>
            </w:pPr>
            <w:r w:rsidRPr="001A05DB">
              <w:rPr>
                <w:rFonts w:ascii="Arial" w:hAnsi="Arial" w:cs="Arial"/>
              </w:rPr>
              <w:t>49,7 %</w:t>
            </w:r>
          </w:p>
        </w:tc>
        <w:tc>
          <w:tcPr>
            <w:tcW w:w="1843" w:type="dxa"/>
            <w:vMerge w:val="restart"/>
          </w:tcPr>
          <w:p w:rsidR="004E632C" w:rsidRPr="001A05DB" w:rsidRDefault="004E632C" w:rsidP="004E632C">
            <w:pPr>
              <w:jc w:val="both"/>
              <w:rPr>
                <w:rFonts w:ascii="Arial" w:hAnsi="Arial" w:cs="Arial"/>
              </w:rPr>
            </w:pPr>
          </w:p>
          <w:p w:rsidR="004E632C" w:rsidRPr="001A05DB" w:rsidRDefault="004E632C" w:rsidP="004E632C">
            <w:pPr>
              <w:jc w:val="both"/>
              <w:rPr>
                <w:rFonts w:ascii="Arial" w:hAnsi="Arial" w:cs="Arial"/>
              </w:rPr>
            </w:pPr>
            <w:r w:rsidRPr="001A05DB">
              <w:rPr>
                <w:rFonts w:ascii="Arial" w:hAnsi="Arial" w:cs="Arial"/>
              </w:rPr>
              <w:t>16 000 euros</w:t>
            </w:r>
          </w:p>
        </w:tc>
      </w:tr>
      <w:tr w:rsidR="004E632C" w:rsidRPr="001A05DB">
        <w:tc>
          <w:tcPr>
            <w:tcW w:w="1276" w:type="dxa"/>
          </w:tcPr>
          <w:p w:rsidR="004E632C" w:rsidRPr="001A05DB" w:rsidRDefault="004E632C" w:rsidP="004E632C">
            <w:pPr>
              <w:jc w:val="both"/>
              <w:rPr>
                <w:rFonts w:ascii="Arial" w:hAnsi="Arial" w:cs="Arial"/>
              </w:rPr>
            </w:pPr>
            <w:r w:rsidRPr="001A05DB">
              <w:rPr>
                <w:rFonts w:ascii="Arial" w:hAnsi="Arial" w:cs="Arial"/>
              </w:rPr>
              <w:t>Année 2</w:t>
            </w:r>
          </w:p>
        </w:tc>
        <w:tc>
          <w:tcPr>
            <w:tcW w:w="2158" w:type="dxa"/>
          </w:tcPr>
          <w:p w:rsidR="004E632C" w:rsidRPr="001A05DB" w:rsidRDefault="004E632C" w:rsidP="004E632C">
            <w:pPr>
              <w:jc w:val="both"/>
              <w:rPr>
                <w:rFonts w:ascii="Arial" w:hAnsi="Arial" w:cs="Arial"/>
              </w:rPr>
            </w:pPr>
            <w:r w:rsidRPr="001A05DB">
              <w:rPr>
                <w:rFonts w:ascii="Arial" w:hAnsi="Arial" w:cs="Arial"/>
              </w:rPr>
              <w:t>31 820 euros</w:t>
            </w:r>
          </w:p>
        </w:tc>
        <w:tc>
          <w:tcPr>
            <w:tcW w:w="1527" w:type="dxa"/>
            <w:vMerge/>
          </w:tcPr>
          <w:p w:rsidR="004E632C" w:rsidRPr="001A05DB" w:rsidRDefault="004E632C" w:rsidP="004E632C">
            <w:pPr>
              <w:jc w:val="both"/>
              <w:rPr>
                <w:rFonts w:ascii="Arial" w:hAnsi="Arial" w:cs="Arial"/>
              </w:rPr>
            </w:pPr>
          </w:p>
        </w:tc>
        <w:tc>
          <w:tcPr>
            <w:tcW w:w="1418" w:type="dxa"/>
            <w:vMerge/>
          </w:tcPr>
          <w:p w:rsidR="004E632C" w:rsidRPr="001A05DB" w:rsidRDefault="004E632C" w:rsidP="004E632C">
            <w:pPr>
              <w:jc w:val="both"/>
              <w:rPr>
                <w:rFonts w:ascii="Arial" w:hAnsi="Arial" w:cs="Arial"/>
              </w:rPr>
            </w:pPr>
          </w:p>
        </w:tc>
        <w:tc>
          <w:tcPr>
            <w:tcW w:w="1843" w:type="dxa"/>
            <w:vMerge/>
          </w:tcPr>
          <w:p w:rsidR="004E632C" w:rsidRPr="001A05DB" w:rsidRDefault="004E632C" w:rsidP="004E632C">
            <w:pPr>
              <w:jc w:val="both"/>
              <w:rPr>
                <w:rFonts w:ascii="Arial" w:hAnsi="Arial" w:cs="Arial"/>
              </w:rPr>
            </w:pPr>
          </w:p>
        </w:tc>
      </w:tr>
      <w:tr w:rsidR="004E632C" w:rsidRPr="001A05DB">
        <w:tc>
          <w:tcPr>
            <w:tcW w:w="1276" w:type="dxa"/>
          </w:tcPr>
          <w:p w:rsidR="004E632C" w:rsidRPr="001A05DB" w:rsidRDefault="004E632C" w:rsidP="004E632C">
            <w:pPr>
              <w:jc w:val="both"/>
              <w:rPr>
                <w:rFonts w:ascii="Arial" w:hAnsi="Arial" w:cs="Arial"/>
              </w:rPr>
            </w:pPr>
            <w:r w:rsidRPr="001A05DB">
              <w:rPr>
                <w:rFonts w:ascii="Arial" w:hAnsi="Arial" w:cs="Arial"/>
              </w:rPr>
              <w:t>Année 3</w:t>
            </w:r>
          </w:p>
        </w:tc>
        <w:tc>
          <w:tcPr>
            <w:tcW w:w="2158" w:type="dxa"/>
          </w:tcPr>
          <w:p w:rsidR="004E632C" w:rsidRPr="001A05DB" w:rsidRDefault="004E632C" w:rsidP="004E632C">
            <w:pPr>
              <w:jc w:val="both"/>
              <w:rPr>
                <w:rFonts w:ascii="Arial" w:hAnsi="Arial" w:cs="Arial"/>
              </w:rPr>
            </w:pPr>
            <w:r w:rsidRPr="001A05DB">
              <w:rPr>
                <w:rFonts w:ascii="Arial" w:hAnsi="Arial" w:cs="Arial"/>
              </w:rPr>
              <w:t>35 488 euros</w:t>
            </w:r>
          </w:p>
        </w:tc>
        <w:tc>
          <w:tcPr>
            <w:tcW w:w="1527" w:type="dxa"/>
            <w:vMerge/>
          </w:tcPr>
          <w:p w:rsidR="004E632C" w:rsidRPr="001A05DB" w:rsidRDefault="004E632C" w:rsidP="004E632C">
            <w:pPr>
              <w:jc w:val="both"/>
              <w:rPr>
                <w:rFonts w:ascii="Arial" w:hAnsi="Arial" w:cs="Arial"/>
              </w:rPr>
            </w:pPr>
          </w:p>
        </w:tc>
        <w:tc>
          <w:tcPr>
            <w:tcW w:w="1418" w:type="dxa"/>
            <w:vMerge/>
          </w:tcPr>
          <w:p w:rsidR="004E632C" w:rsidRPr="001A05DB" w:rsidRDefault="004E632C" w:rsidP="004E632C">
            <w:pPr>
              <w:jc w:val="both"/>
              <w:rPr>
                <w:rFonts w:ascii="Arial" w:hAnsi="Arial" w:cs="Arial"/>
              </w:rPr>
            </w:pPr>
          </w:p>
        </w:tc>
        <w:tc>
          <w:tcPr>
            <w:tcW w:w="1843" w:type="dxa"/>
            <w:vMerge/>
          </w:tcPr>
          <w:p w:rsidR="004E632C" w:rsidRPr="001A05DB" w:rsidRDefault="004E632C" w:rsidP="004E632C">
            <w:pPr>
              <w:jc w:val="both"/>
              <w:rPr>
                <w:rFonts w:ascii="Arial" w:hAnsi="Arial" w:cs="Arial"/>
              </w:rPr>
            </w:pPr>
          </w:p>
        </w:tc>
      </w:tr>
      <w:tr w:rsidR="004E632C" w:rsidRPr="001A05DB">
        <w:tc>
          <w:tcPr>
            <w:tcW w:w="1276" w:type="dxa"/>
          </w:tcPr>
          <w:p w:rsidR="004E632C" w:rsidRPr="001A05DB" w:rsidRDefault="004E632C" w:rsidP="004E632C">
            <w:pPr>
              <w:jc w:val="both"/>
              <w:rPr>
                <w:rFonts w:ascii="Arial" w:hAnsi="Arial" w:cs="Arial"/>
              </w:rPr>
            </w:pPr>
            <w:r w:rsidRPr="001A05DB">
              <w:rPr>
                <w:rFonts w:ascii="Arial" w:hAnsi="Arial" w:cs="Arial"/>
              </w:rPr>
              <w:t>Année 4</w:t>
            </w:r>
          </w:p>
        </w:tc>
        <w:tc>
          <w:tcPr>
            <w:tcW w:w="2158" w:type="dxa"/>
          </w:tcPr>
          <w:p w:rsidR="004E632C" w:rsidRPr="001A05DB" w:rsidRDefault="004E632C" w:rsidP="004E632C">
            <w:pPr>
              <w:jc w:val="both"/>
              <w:rPr>
                <w:rFonts w:ascii="Arial" w:hAnsi="Arial" w:cs="Arial"/>
              </w:rPr>
            </w:pPr>
            <w:r w:rsidRPr="001A05DB">
              <w:rPr>
                <w:rFonts w:ascii="Arial" w:hAnsi="Arial" w:cs="Arial"/>
              </w:rPr>
              <w:t>38 324 euros</w:t>
            </w:r>
          </w:p>
        </w:tc>
        <w:tc>
          <w:tcPr>
            <w:tcW w:w="1527" w:type="dxa"/>
            <w:vMerge w:val="restart"/>
          </w:tcPr>
          <w:p w:rsidR="004E632C" w:rsidRPr="001A05DB" w:rsidRDefault="004E632C" w:rsidP="004E632C">
            <w:pPr>
              <w:jc w:val="both"/>
              <w:rPr>
                <w:rFonts w:ascii="Arial" w:hAnsi="Arial" w:cs="Arial"/>
              </w:rPr>
            </w:pPr>
            <w:r w:rsidRPr="001A05DB">
              <w:rPr>
                <w:rFonts w:ascii="Arial" w:hAnsi="Arial" w:cs="Arial"/>
              </w:rPr>
              <w:t>39 720 euros</w:t>
            </w:r>
          </w:p>
        </w:tc>
        <w:tc>
          <w:tcPr>
            <w:tcW w:w="1418" w:type="dxa"/>
            <w:vMerge w:val="restart"/>
          </w:tcPr>
          <w:p w:rsidR="004E632C" w:rsidRPr="001A05DB" w:rsidRDefault="004E632C" w:rsidP="004E632C">
            <w:pPr>
              <w:jc w:val="both"/>
              <w:rPr>
                <w:rFonts w:ascii="Arial" w:hAnsi="Arial" w:cs="Arial"/>
              </w:rPr>
            </w:pPr>
            <w:r w:rsidRPr="001A05DB">
              <w:rPr>
                <w:rFonts w:ascii="Arial" w:hAnsi="Arial" w:cs="Arial"/>
              </w:rPr>
              <w:t>20,1 %</w:t>
            </w:r>
          </w:p>
        </w:tc>
        <w:tc>
          <w:tcPr>
            <w:tcW w:w="1843" w:type="dxa"/>
            <w:vMerge w:val="restart"/>
          </w:tcPr>
          <w:p w:rsidR="004E632C" w:rsidRPr="001A05DB" w:rsidRDefault="004E632C" w:rsidP="004E632C">
            <w:pPr>
              <w:jc w:val="both"/>
              <w:rPr>
                <w:rFonts w:ascii="Arial" w:hAnsi="Arial" w:cs="Arial"/>
              </w:rPr>
            </w:pPr>
            <w:r w:rsidRPr="001A05DB">
              <w:rPr>
                <w:rFonts w:ascii="Arial" w:hAnsi="Arial" w:cs="Arial"/>
              </w:rPr>
              <w:t>8 000 euros</w:t>
            </w:r>
          </w:p>
        </w:tc>
      </w:tr>
      <w:tr w:rsidR="004E632C" w:rsidRPr="001A05DB">
        <w:tc>
          <w:tcPr>
            <w:tcW w:w="1276" w:type="dxa"/>
          </w:tcPr>
          <w:p w:rsidR="004E632C" w:rsidRPr="001A05DB" w:rsidRDefault="004E632C" w:rsidP="004E632C">
            <w:pPr>
              <w:jc w:val="both"/>
              <w:rPr>
                <w:rFonts w:ascii="Arial" w:hAnsi="Arial" w:cs="Arial"/>
              </w:rPr>
            </w:pPr>
            <w:r w:rsidRPr="001A05DB">
              <w:rPr>
                <w:rFonts w:ascii="Arial" w:hAnsi="Arial" w:cs="Arial"/>
              </w:rPr>
              <w:t>Année 5</w:t>
            </w:r>
          </w:p>
        </w:tc>
        <w:tc>
          <w:tcPr>
            <w:tcW w:w="2158" w:type="dxa"/>
          </w:tcPr>
          <w:p w:rsidR="004E632C" w:rsidRPr="001A05DB" w:rsidRDefault="004E632C" w:rsidP="004E632C">
            <w:pPr>
              <w:jc w:val="both"/>
              <w:rPr>
                <w:rFonts w:ascii="Arial" w:hAnsi="Arial" w:cs="Arial"/>
              </w:rPr>
            </w:pPr>
            <w:r w:rsidRPr="001A05DB">
              <w:rPr>
                <w:rFonts w:ascii="Arial" w:hAnsi="Arial" w:cs="Arial"/>
              </w:rPr>
              <w:t>41 116 euros</w:t>
            </w:r>
          </w:p>
        </w:tc>
        <w:tc>
          <w:tcPr>
            <w:tcW w:w="1527" w:type="dxa"/>
            <w:vMerge/>
          </w:tcPr>
          <w:p w:rsidR="004E632C" w:rsidRPr="001A05DB" w:rsidRDefault="004E632C" w:rsidP="004E632C">
            <w:pPr>
              <w:jc w:val="both"/>
              <w:rPr>
                <w:rFonts w:ascii="Arial" w:hAnsi="Arial" w:cs="Arial"/>
              </w:rPr>
            </w:pPr>
          </w:p>
        </w:tc>
        <w:tc>
          <w:tcPr>
            <w:tcW w:w="1418" w:type="dxa"/>
            <w:vMerge/>
          </w:tcPr>
          <w:p w:rsidR="004E632C" w:rsidRPr="001A05DB" w:rsidRDefault="004E632C" w:rsidP="004E632C">
            <w:pPr>
              <w:jc w:val="both"/>
              <w:rPr>
                <w:rFonts w:ascii="Arial" w:hAnsi="Arial" w:cs="Arial"/>
              </w:rPr>
            </w:pPr>
          </w:p>
        </w:tc>
        <w:tc>
          <w:tcPr>
            <w:tcW w:w="1843" w:type="dxa"/>
            <w:vMerge/>
          </w:tcPr>
          <w:p w:rsidR="004E632C" w:rsidRPr="001A05DB" w:rsidRDefault="004E632C" w:rsidP="004E632C">
            <w:pPr>
              <w:jc w:val="both"/>
              <w:rPr>
                <w:rFonts w:ascii="Arial" w:hAnsi="Arial" w:cs="Arial"/>
              </w:rPr>
            </w:pPr>
          </w:p>
        </w:tc>
      </w:tr>
    </w:tbl>
    <w:p w:rsidR="004E632C" w:rsidRPr="001A05DB" w:rsidRDefault="004E632C" w:rsidP="004E632C">
      <w:pPr>
        <w:spacing w:after="0" w:line="240" w:lineRule="auto"/>
        <w:jc w:val="both"/>
        <w:rPr>
          <w:rFonts w:ascii="Arial" w:hAnsi="Arial" w:cs="Arial"/>
        </w:rPr>
      </w:pPr>
      <w:r w:rsidRPr="001A05DB">
        <w:rPr>
          <w:rFonts w:ascii="Arial" w:hAnsi="Arial" w:cs="Arial"/>
        </w:rPr>
        <w:t>Les crédits 2014 portent sur le semestre de printemps 2014 (mai à octobre 2014) et sur le semestre d’automne 2014 (novembre 2014 à avril 2015). Ils ont été calculés à partir des projections régionalisées du nombre d’internes de médecine, odontologie et pharmacie par promotion et après déduction du coût des stages extrahospitaliers</w:t>
      </w:r>
      <w:r w:rsidR="001F5A0F">
        <w:rPr>
          <w:rFonts w:ascii="Arial" w:hAnsi="Arial" w:cs="Arial"/>
        </w:rPr>
        <w:t xml:space="preserve"> financés sur le programme 204. </w:t>
      </w:r>
      <w:r w:rsidRPr="001A05DB">
        <w:rPr>
          <w:rFonts w:ascii="Arial" w:hAnsi="Arial" w:cs="Arial"/>
        </w:rPr>
        <w:t xml:space="preserve"> </w:t>
      </w:r>
    </w:p>
    <w:p w:rsidR="004E632C" w:rsidRPr="001A05DB" w:rsidRDefault="004E632C" w:rsidP="004E632C">
      <w:pPr>
        <w:spacing w:after="0" w:line="240" w:lineRule="auto"/>
        <w:jc w:val="both"/>
        <w:rPr>
          <w:rFonts w:ascii="Arial" w:hAnsi="Arial" w:cs="Arial"/>
        </w:rPr>
      </w:pPr>
      <w:r w:rsidRPr="001A05DB">
        <w:rPr>
          <w:rFonts w:ascii="Arial" w:hAnsi="Arial" w:cs="Arial"/>
        </w:rPr>
        <w:t>Il est rappelé que la rémunération des internes qui effectuent un stage hors de leur subdivision (stages « inter CHU ») feront l’objet d’une compensation à 100 % dans la limite des crédits disponibles au niveau national après rééquilibrage éventuel des crédits entre régions en 2</w:t>
      </w:r>
      <w:r w:rsidRPr="001A05DB">
        <w:rPr>
          <w:rFonts w:ascii="Arial" w:hAnsi="Arial" w:cs="Arial"/>
          <w:vertAlign w:val="superscript"/>
        </w:rPr>
        <w:t>ème</w:t>
      </w:r>
      <w:r w:rsidRPr="001A05DB">
        <w:rPr>
          <w:rFonts w:ascii="Arial" w:hAnsi="Arial" w:cs="Arial"/>
        </w:rPr>
        <w:t xml:space="preserve"> ou 3</w:t>
      </w:r>
      <w:r w:rsidRPr="001A05DB">
        <w:rPr>
          <w:rFonts w:ascii="Arial" w:hAnsi="Arial" w:cs="Arial"/>
          <w:vertAlign w:val="superscript"/>
        </w:rPr>
        <w:t>ème</w:t>
      </w:r>
      <w:r w:rsidRPr="001A05DB">
        <w:rPr>
          <w:rFonts w:ascii="Arial" w:hAnsi="Arial" w:cs="Arial"/>
        </w:rPr>
        <w:t xml:space="preserve"> circulaire. A titre indicatif, pour le semestre d’hiver de novembre 2013, </w:t>
      </w:r>
      <w:r w:rsidR="009D5ADC">
        <w:rPr>
          <w:rFonts w:ascii="Arial" w:hAnsi="Arial" w:cs="Arial"/>
        </w:rPr>
        <w:t>ont été financé</w:t>
      </w:r>
      <w:r w:rsidR="001F5A0F">
        <w:rPr>
          <w:rFonts w:ascii="Arial" w:hAnsi="Arial" w:cs="Arial"/>
        </w:rPr>
        <w:t>s</w:t>
      </w:r>
      <w:r w:rsidRPr="001A05DB">
        <w:rPr>
          <w:rFonts w:ascii="Arial" w:hAnsi="Arial" w:cs="Arial"/>
        </w:rPr>
        <w:t xml:space="preserve"> un total de 610 stages « inter CHU » soit 2,09 % du nombre total d’internes.</w:t>
      </w:r>
    </w:p>
    <w:p w:rsidR="004345B8" w:rsidRPr="001A05DB" w:rsidRDefault="004345B8" w:rsidP="004E632C">
      <w:pPr>
        <w:spacing w:after="0" w:line="240" w:lineRule="auto"/>
        <w:jc w:val="both"/>
        <w:rPr>
          <w:rFonts w:ascii="Arial" w:hAnsi="Arial" w:cs="Arial"/>
        </w:rPr>
      </w:pPr>
    </w:p>
    <w:p w:rsidR="004E632C" w:rsidRPr="001A05DB" w:rsidRDefault="004E632C" w:rsidP="004E632C">
      <w:pPr>
        <w:spacing w:after="0" w:line="240" w:lineRule="auto"/>
        <w:jc w:val="both"/>
        <w:rPr>
          <w:rFonts w:ascii="Arial" w:hAnsi="Arial" w:cs="Arial"/>
        </w:rPr>
      </w:pPr>
      <w:r w:rsidRPr="001A05DB">
        <w:rPr>
          <w:rFonts w:ascii="Arial" w:hAnsi="Arial" w:cs="Arial"/>
        </w:rPr>
        <w:t>Enfin, à compter de cette année 2014, la dotation MERRI intègre également le différentiel de rémunération pour le financement des internes en médecine, odontologie et pharmacie susceptibles de bénéficier d’une année recherche. En effet, le nombre d’années recherche ayant doublé à compter de la rentrée universitaire 2013-2014 (cf</w:t>
      </w:r>
      <w:r w:rsidR="002F7FA3" w:rsidRPr="001A05DB">
        <w:rPr>
          <w:rFonts w:ascii="Arial" w:hAnsi="Arial" w:cs="Arial"/>
        </w:rPr>
        <w:t>.</w:t>
      </w:r>
      <w:r w:rsidRPr="001A05DB">
        <w:rPr>
          <w:rFonts w:ascii="Arial" w:hAnsi="Arial" w:cs="Arial"/>
        </w:rPr>
        <w:t xml:space="preserve"> arrêté d</w:t>
      </w:r>
      <w:r w:rsidR="004345B8" w:rsidRPr="001A05DB">
        <w:rPr>
          <w:rFonts w:ascii="Arial" w:hAnsi="Arial" w:cs="Arial"/>
        </w:rPr>
        <w:t xml:space="preserve">u 12 juillet 2013), </w:t>
      </w:r>
      <w:r w:rsidR="009D5ADC">
        <w:rPr>
          <w:rFonts w:ascii="Arial" w:hAnsi="Arial" w:cs="Arial"/>
        </w:rPr>
        <w:t>sont financés</w:t>
      </w:r>
      <w:r w:rsidRPr="001A05DB">
        <w:rPr>
          <w:rFonts w:ascii="Arial" w:hAnsi="Arial" w:cs="Arial"/>
        </w:rPr>
        <w:t xml:space="preserve"> un total de 370 années recherche dont la moitié est financée sur crédits MERRI et l’autre moitié sur crédits d’Etat. </w:t>
      </w:r>
    </w:p>
    <w:p w:rsidR="00DB68C3" w:rsidRPr="001A05DB" w:rsidRDefault="00DB68C3" w:rsidP="004E632C">
      <w:pPr>
        <w:spacing w:after="0" w:line="240" w:lineRule="auto"/>
        <w:jc w:val="both"/>
        <w:rPr>
          <w:rFonts w:ascii="Arial" w:hAnsi="Arial" w:cs="Arial"/>
        </w:rPr>
      </w:pPr>
    </w:p>
    <w:p w:rsidR="004E632C" w:rsidRPr="001A05DB" w:rsidRDefault="00114B9A" w:rsidP="001A05DB">
      <w:pPr>
        <w:spacing w:after="0" w:line="240" w:lineRule="auto"/>
        <w:rPr>
          <w:rFonts w:ascii="Arial" w:hAnsi="Arial" w:cs="Arial"/>
          <w:b/>
        </w:rPr>
      </w:pPr>
      <w:r w:rsidRPr="001A05DB">
        <w:rPr>
          <w:rFonts w:ascii="Arial" w:hAnsi="Arial" w:cs="Arial"/>
          <w:b/>
        </w:rPr>
        <w:t xml:space="preserve">Le financement des praticiens à diplôme hors de l’Union européenne </w:t>
      </w:r>
    </w:p>
    <w:p w:rsidR="00752C71" w:rsidRPr="001A05DB" w:rsidRDefault="00752C71" w:rsidP="001A05DB">
      <w:pPr>
        <w:spacing w:after="0" w:line="240" w:lineRule="auto"/>
        <w:rPr>
          <w:rFonts w:ascii="Arial" w:hAnsi="Arial" w:cs="Arial"/>
          <w:b/>
        </w:rPr>
      </w:pPr>
    </w:p>
    <w:p w:rsidR="004E632C" w:rsidRPr="001A05DB" w:rsidRDefault="004E632C" w:rsidP="004E632C">
      <w:pPr>
        <w:spacing w:after="0" w:line="240" w:lineRule="auto"/>
        <w:jc w:val="both"/>
        <w:rPr>
          <w:rFonts w:ascii="Arial" w:hAnsi="Arial" w:cs="Arial"/>
        </w:rPr>
      </w:pPr>
      <w:r w:rsidRPr="001A05DB">
        <w:rPr>
          <w:rFonts w:ascii="Arial" w:hAnsi="Arial" w:cs="Arial"/>
        </w:rPr>
        <w:t xml:space="preserve">L’article L. 4111-2-I du code de la santé publique prévoit un dispositif permettant aux praticiens titulaires de diplômes délivrés par un Etat tiers à l’Union européenne lauréats des épreuves de vérification des connaissances organisées dans ce cadre, et ayant exercé trois années de fonctions en qualité d’associé dans un service agrée pour la formation des internes, de solliciter une autorisation d’exercice de la profession de médecin en France. </w:t>
      </w:r>
    </w:p>
    <w:p w:rsidR="004E632C" w:rsidRPr="001A05DB" w:rsidRDefault="004E632C" w:rsidP="004E632C">
      <w:pPr>
        <w:spacing w:after="0" w:line="240" w:lineRule="auto"/>
        <w:jc w:val="both"/>
        <w:rPr>
          <w:rFonts w:ascii="Arial" w:hAnsi="Arial" w:cs="Arial"/>
        </w:rPr>
      </w:pPr>
    </w:p>
    <w:p w:rsidR="004E632C" w:rsidRDefault="004E632C" w:rsidP="00A63A6B">
      <w:pPr>
        <w:spacing w:after="0" w:line="240" w:lineRule="auto"/>
        <w:jc w:val="both"/>
        <w:rPr>
          <w:rFonts w:ascii="Arial" w:hAnsi="Arial" w:cs="Arial"/>
        </w:rPr>
      </w:pPr>
      <w:r w:rsidRPr="001A05DB">
        <w:rPr>
          <w:rFonts w:ascii="Arial" w:hAnsi="Arial" w:cs="Arial"/>
        </w:rPr>
        <w:t xml:space="preserve">Certains lauréats de ces épreuves ne parviennent pas à être recrutés par un établissement au terme de plusieurs années de recherche. </w:t>
      </w:r>
      <w:r w:rsidR="00114B9A" w:rsidRPr="001A05DB">
        <w:rPr>
          <w:rFonts w:ascii="Arial" w:hAnsi="Arial" w:cs="Arial"/>
        </w:rPr>
        <w:t>La</w:t>
      </w:r>
      <w:r w:rsidRPr="001A05DB">
        <w:rPr>
          <w:rFonts w:ascii="Arial" w:hAnsi="Arial" w:cs="Arial"/>
        </w:rPr>
        <w:t xml:space="preserve"> dotation de </w:t>
      </w:r>
      <w:r w:rsidR="00114B9A" w:rsidRPr="00693486">
        <w:rPr>
          <w:rFonts w:ascii="Arial" w:hAnsi="Arial" w:cs="Arial"/>
          <w:b/>
        </w:rPr>
        <w:t>0,07M</w:t>
      </w:r>
      <w:r w:rsidRPr="00693486">
        <w:rPr>
          <w:rFonts w:ascii="Arial" w:hAnsi="Arial" w:cs="Arial"/>
          <w:b/>
        </w:rPr>
        <w:t>€</w:t>
      </w:r>
      <w:r w:rsidRPr="001A05DB">
        <w:rPr>
          <w:rFonts w:ascii="Arial" w:hAnsi="Arial" w:cs="Arial"/>
        </w:rPr>
        <w:t xml:space="preserve"> </w:t>
      </w:r>
      <w:r w:rsidR="003A1D53">
        <w:rPr>
          <w:rFonts w:ascii="Arial" w:hAnsi="Arial" w:cs="Arial"/>
        </w:rPr>
        <w:t xml:space="preserve">de crédits </w:t>
      </w:r>
      <w:r w:rsidR="00F17F41">
        <w:rPr>
          <w:rFonts w:ascii="Arial" w:hAnsi="Arial" w:cs="Arial"/>
        </w:rPr>
        <w:t xml:space="preserve">AC </w:t>
      </w:r>
      <w:r w:rsidR="003A1D53">
        <w:rPr>
          <w:rFonts w:ascii="Arial" w:hAnsi="Arial" w:cs="Arial"/>
        </w:rPr>
        <w:t xml:space="preserve">non reconductibles </w:t>
      </w:r>
      <w:r w:rsidRPr="001A05DB">
        <w:rPr>
          <w:rFonts w:ascii="Arial" w:hAnsi="Arial" w:cs="Arial"/>
        </w:rPr>
        <w:t>a pour objet de financer la poursuite des fonctions hospitalières effectuées</w:t>
      </w:r>
      <w:r w:rsidR="00114B9A" w:rsidRPr="001A05DB">
        <w:rPr>
          <w:rFonts w:ascii="Arial" w:hAnsi="Arial" w:cs="Arial"/>
        </w:rPr>
        <w:t xml:space="preserve"> sur des postes d’associé pour deux</w:t>
      </w:r>
      <w:r w:rsidRPr="001A05DB">
        <w:rPr>
          <w:rFonts w:ascii="Arial" w:hAnsi="Arial" w:cs="Arial"/>
        </w:rPr>
        <w:t xml:space="preserve"> médecins se trouvant dans cette situation, afin de leur permettre de satisfaire à l’obligation légale et de poursuivre la procédure d’autorisation d’exercice de leur profession en France. </w:t>
      </w:r>
    </w:p>
    <w:p w:rsidR="00DB68C3" w:rsidRPr="001A05DB" w:rsidRDefault="00DB68C3" w:rsidP="004E632C">
      <w:pPr>
        <w:spacing w:after="0" w:line="240" w:lineRule="auto"/>
        <w:rPr>
          <w:rFonts w:ascii="Arial" w:hAnsi="Arial" w:cs="Arial"/>
        </w:rPr>
      </w:pPr>
    </w:p>
    <w:p w:rsidR="004E632C" w:rsidRPr="001A05DB" w:rsidRDefault="004E632C" w:rsidP="00E514ED">
      <w:pPr>
        <w:spacing w:after="0" w:line="240" w:lineRule="auto"/>
        <w:jc w:val="both"/>
        <w:rPr>
          <w:rFonts w:ascii="Arial" w:hAnsi="Arial" w:cs="Arial"/>
          <w:b/>
        </w:rPr>
      </w:pPr>
      <w:r w:rsidRPr="001A05DB">
        <w:rPr>
          <w:rFonts w:ascii="Arial" w:hAnsi="Arial" w:cs="Arial"/>
          <w:b/>
        </w:rPr>
        <w:t>Mesures portant sur le régime indemnitaire des internes en médecine, pharmacie, odontologie</w:t>
      </w:r>
    </w:p>
    <w:p w:rsidR="00E11E09" w:rsidRPr="001A05DB" w:rsidRDefault="00E11E09" w:rsidP="00F6130B">
      <w:pPr>
        <w:spacing w:after="0" w:line="240" w:lineRule="auto"/>
        <w:jc w:val="both"/>
        <w:rPr>
          <w:rFonts w:ascii="Arial" w:hAnsi="Arial" w:cs="Arial"/>
        </w:rPr>
      </w:pPr>
    </w:p>
    <w:p w:rsidR="00215623" w:rsidRDefault="004E632C" w:rsidP="00F6130B">
      <w:pPr>
        <w:spacing w:after="0" w:line="240" w:lineRule="auto"/>
        <w:jc w:val="both"/>
        <w:rPr>
          <w:rFonts w:ascii="Arial" w:hAnsi="Arial" w:cs="Arial"/>
        </w:rPr>
      </w:pPr>
      <w:r w:rsidRPr="001A05DB">
        <w:rPr>
          <w:rFonts w:ascii="Arial" w:hAnsi="Arial" w:cs="Arial"/>
        </w:rPr>
        <w:t>Dans le prolongement des travaux du groupe de travail « conditions de travail des étudiants, internes et assistants », l’indemnité de sujétion des internes de 1</w:t>
      </w:r>
      <w:r w:rsidRPr="001A05DB">
        <w:rPr>
          <w:rFonts w:ascii="Arial" w:hAnsi="Arial" w:cs="Arial"/>
          <w:vertAlign w:val="superscript"/>
        </w:rPr>
        <w:t>ère</w:t>
      </w:r>
      <w:r w:rsidRPr="001A05DB">
        <w:rPr>
          <w:rFonts w:ascii="Arial" w:hAnsi="Arial" w:cs="Arial"/>
        </w:rPr>
        <w:t xml:space="preserve"> et 2</w:t>
      </w:r>
      <w:r w:rsidRPr="001A05DB">
        <w:rPr>
          <w:rFonts w:ascii="Arial" w:hAnsi="Arial" w:cs="Arial"/>
          <w:vertAlign w:val="superscript"/>
        </w:rPr>
        <w:t>ème</w:t>
      </w:r>
      <w:r w:rsidR="002A70C3" w:rsidRPr="001A05DB">
        <w:rPr>
          <w:rFonts w:ascii="Arial" w:hAnsi="Arial" w:cs="Arial"/>
        </w:rPr>
        <w:t xml:space="preserve"> année a été revalorisée. U</w:t>
      </w:r>
      <w:r w:rsidRPr="001A05DB">
        <w:rPr>
          <w:rFonts w:ascii="Arial" w:hAnsi="Arial" w:cs="Arial"/>
        </w:rPr>
        <w:t>ne indemnité forfaitaire de transport pendant les stages ambulatoires des internes a</w:t>
      </w:r>
      <w:r w:rsidR="00B52A79">
        <w:rPr>
          <w:rFonts w:ascii="Arial" w:hAnsi="Arial" w:cs="Arial"/>
        </w:rPr>
        <w:t>, par ailleurs,</w:t>
      </w:r>
      <w:r w:rsidRPr="001A05DB">
        <w:rPr>
          <w:rFonts w:ascii="Arial" w:hAnsi="Arial" w:cs="Arial"/>
        </w:rPr>
        <w:t xml:space="preserve"> été créée de façon à so</w:t>
      </w:r>
      <w:r w:rsidR="002A70C3" w:rsidRPr="001A05DB">
        <w:rPr>
          <w:rFonts w:ascii="Arial" w:hAnsi="Arial" w:cs="Arial"/>
        </w:rPr>
        <w:t>utenir la médecine ambulatoire. E</w:t>
      </w:r>
      <w:r w:rsidRPr="001A05DB">
        <w:rPr>
          <w:rFonts w:ascii="Arial" w:hAnsi="Arial" w:cs="Arial"/>
        </w:rPr>
        <w:t>nfin</w:t>
      </w:r>
      <w:r w:rsidR="002A70C3" w:rsidRPr="001A05DB">
        <w:rPr>
          <w:rFonts w:ascii="Arial" w:hAnsi="Arial" w:cs="Arial"/>
        </w:rPr>
        <w:t>,</w:t>
      </w:r>
      <w:r w:rsidRPr="001A05DB">
        <w:rPr>
          <w:rFonts w:ascii="Arial" w:hAnsi="Arial" w:cs="Arial"/>
        </w:rPr>
        <w:t xml:space="preserve"> une prime de responsabilité pour les internes effectuant leur SASPAS a été créée.</w:t>
      </w:r>
      <w:r w:rsidR="00CC0796">
        <w:rPr>
          <w:rFonts w:ascii="Arial" w:hAnsi="Arial" w:cs="Arial"/>
        </w:rPr>
        <w:t xml:space="preserve"> </w:t>
      </w:r>
    </w:p>
    <w:p w:rsidR="004E632C" w:rsidRDefault="00215623" w:rsidP="00F6130B">
      <w:pPr>
        <w:spacing w:after="0" w:line="240" w:lineRule="auto"/>
        <w:jc w:val="both"/>
        <w:rPr>
          <w:rFonts w:ascii="Arial" w:hAnsi="Arial" w:cs="Arial"/>
        </w:rPr>
      </w:pPr>
      <w:r w:rsidRPr="00215623">
        <w:rPr>
          <w:rFonts w:ascii="Arial" w:hAnsi="Arial" w:cs="Arial"/>
          <w:b/>
        </w:rPr>
        <w:t>23,77M€</w:t>
      </w:r>
      <w:r>
        <w:rPr>
          <w:rFonts w:ascii="Arial" w:hAnsi="Arial" w:cs="Arial"/>
        </w:rPr>
        <w:t xml:space="preserve"> </w:t>
      </w:r>
      <w:r w:rsidR="005A196D">
        <w:rPr>
          <w:rFonts w:ascii="Arial" w:hAnsi="Arial" w:cs="Arial"/>
        </w:rPr>
        <w:t xml:space="preserve">vous </w:t>
      </w:r>
      <w:r>
        <w:rPr>
          <w:rFonts w:ascii="Arial" w:hAnsi="Arial" w:cs="Arial"/>
        </w:rPr>
        <w:t xml:space="preserve">sont </w:t>
      </w:r>
      <w:r w:rsidR="005A196D">
        <w:rPr>
          <w:rFonts w:ascii="Arial" w:hAnsi="Arial" w:cs="Arial"/>
        </w:rPr>
        <w:t xml:space="preserve">délégués en AC, dont 20,4M€ en reconductible </w:t>
      </w:r>
      <w:r w:rsidR="00997FDA">
        <w:rPr>
          <w:rFonts w:ascii="Arial" w:hAnsi="Arial" w:cs="Arial"/>
        </w:rPr>
        <w:t>a</w:t>
      </w:r>
      <w:r w:rsidR="00693486">
        <w:rPr>
          <w:rFonts w:ascii="Arial" w:hAnsi="Arial" w:cs="Arial"/>
        </w:rPr>
        <w:t xml:space="preserve">u titre de l’année 2014 </w:t>
      </w:r>
      <w:r w:rsidR="005A196D">
        <w:rPr>
          <w:rFonts w:ascii="Arial" w:hAnsi="Arial" w:cs="Arial"/>
        </w:rPr>
        <w:t>et 3,37M€</w:t>
      </w:r>
      <w:r>
        <w:rPr>
          <w:rFonts w:ascii="Arial" w:hAnsi="Arial" w:cs="Arial"/>
        </w:rPr>
        <w:t xml:space="preserve"> en</w:t>
      </w:r>
      <w:r w:rsidR="005A196D">
        <w:rPr>
          <w:rFonts w:ascii="Arial" w:hAnsi="Arial" w:cs="Arial"/>
        </w:rPr>
        <w:t xml:space="preserve"> non</w:t>
      </w:r>
      <w:r>
        <w:rPr>
          <w:rFonts w:ascii="Arial" w:hAnsi="Arial" w:cs="Arial"/>
        </w:rPr>
        <w:t xml:space="preserve"> reconductible</w:t>
      </w:r>
      <w:r w:rsidR="00693486">
        <w:rPr>
          <w:rFonts w:ascii="Arial" w:hAnsi="Arial" w:cs="Arial"/>
        </w:rPr>
        <w:t xml:space="preserve"> au titre de l’année 2013. </w:t>
      </w:r>
    </w:p>
    <w:p w:rsidR="00DB68C3" w:rsidRPr="001A05DB" w:rsidRDefault="00DB68C3" w:rsidP="00F6130B">
      <w:pPr>
        <w:spacing w:after="0" w:line="240" w:lineRule="auto"/>
        <w:jc w:val="both"/>
        <w:rPr>
          <w:rFonts w:ascii="Arial" w:hAnsi="Arial" w:cs="Arial"/>
        </w:rPr>
      </w:pPr>
    </w:p>
    <w:p w:rsidR="004E632C" w:rsidRPr="001A05DB" w:rsidRDefault="004E632C" w:rsidP="00E514ED">
      <w:pPr>
        <w:spacing w:after="0" w:line="240" w:lineRule="auto"/>
        <w:jc w:val="both"/>
        <w:rPr>
          <w:rFonts w:ascii="Arial" w:hAnsi="Arial" w:cs="Arial"/>
          <w:b/>
        </w:rPr>
      </w:pPr>
      <w:r w:rsidRPr="001A05DB">
        <w:rPr>
          <w:rFonts w:ascii="Arial" w:hAnsi="Arial" w:cs="Arial"/>
          <w:b/>
        </w:rPr>
        <w:t>Mesures portant sur le régime indemnitaire des étudiants hospitaliers en médecine, pharmacie, odontologie</w:t>
      </w:r>
    </w:p>
    <w:p w:rsidR="00E11E09" w:rsidRPr="001A05DB" w:rsidRDefault="00E11E09" w:rsidP="00F6130B">
      <w:pPr>
        <w:spacing w:after="0" w:line="240" w:lineRule="auto"/>
        <w:jc w:val="both"/>
        <w:rPr>
          <w:rFonts w:ascii="Arial" w:hAnsi="Arial" w:cs="Arial"/>
        </w:rPr>
      </w:pPr>
    </w:p>
    <w:p w:rsidR="00215623" w:rsidRDefault="004E632C" w:rsidP="00F6130B">
      <w:pPr>
        <w:spacing w:after="0" w:line="240" w:lineRule="auto"/>
        <w:jc w:val="both"/>
        <w:rPr>
          <w:rFonts w:ascii="Arial" w:hAnsi="Arial" w:cs="Arial"/>
        </w:rPr>
      </w:pPr>
      <w:r w:rsidRPr="001A05DB">
        <w:rPr>
          <w:rFonts w:ascii="Arial" w:hAnsi="Arial" w:cs="Arial"/>
        </w:rPr>
        <w:t>Dans le prolongement des travaux du groupe de travail « conditions de travail des étudiants, internes et assistants », une indemnité forfaitaire de transport pendant les stages hors CHU des étudiants est créée dans l’objectif de favoriser le déroulement des stages sur les territoires et, notamment, de soutenir la médecine ambulatoire. Il est également prévu d’assurer la rémunération des redoublants de 2ème année du 2ème cycle des études de médecine (rémunération après service fait).</w:t>
      </w:r>
      <w:r w:rsidR="00CC0796">
        <w:rPr>
          <w:rFonts w:ascii="Arial" w:hAnsi="Arial" w:cs="Arial"/>
        </w:rPr>
        <w:t xml:space="preserve"> </w:t>
      </w:r>
    </w:p>
    <w:p w:rsidR="005A196D" w:rsidRDefault="00CC0796" w:rsidP="005A196D">
      <w:pPr>
        <w:spacing w:after="0" w:line="240" w:lineRule="auto"/>
        <w:jc w:val="both"/>
        <w:rPr>
          <w:rFonts w:ascii="Arial" w:hAnsi="Arial" w:cs="Arial"/>
        </w:rPr>
      </w:pPr>
      <w:r w:rsidRPr="00CC0796">
        <w:rPr>
          <w:rFonts w:ascii="Arial" w:hAnsi="Arial" w:cs="Arial"/>
          <w:b/>
        </w:rPr>
        <w:t>6,80M€</w:t>
      </w:r>
      <w:r w:rsidR="00B72954">
        <w:rPr>
          <w:rFonts w:ascii="Arial" w:hAnsi="Arial" w:cs="Arial"/>
        </w:rPr>
        <w:t xml:space="preserve"> </w:t>
      </w:r>
      <w:r w:rsidR="005A196D">
        <w:rPr>
          <w:rFonts w:ascii="Arial" w:hAnsi="Arial" w:cs="Arial"/>
        </w:rPr>
        <w:t xml:space="preserve">vous sont délégués en AC et en DAF, dont 5,5M€ en reconductible </w:t>
      </w:r>
      <w:r w:rsidR="00CA5BA8">
        <w:rPr>
          <w:rFonts w:ascii="Arial" w:hAnsi="Arial" w:cs="Arial"/>
        </w:rPr>
        <w:t xml:space="preserve">au titre de l’année 2014 </w:t>
      </w:r>
      <w:r w:rsidR="005A196D">
        <w:rPr>
          <w:rFonts w:ascii="Arial" w:hAnsi="Arial" w:cs="Arial"/>
        </w:rPr>
        <w:t>et 1,3M€ en non reconductible au titre de l’année 2013.</w:t>
      </w:r>
    </w:p>
    <w:p w:rsidR="005A196D" w:rsidRDefault="005A196D" w:rsidP="00B52A79">
      <w:pPr>
        <w:spacing w:after="0" w:line="240" w:lineRule="auto"/>
        <w:jc w:val="both"/>
        <w:rPr>
          <w:rFonts w:ascii="Arial" w:hAnsi="Arial" w:cs="Arial"/>
        </w:rPr>
      </w:pPr>
    </w:p>
    <w:p w:rsidR="004E632C" w:rsidRPr="001A05DB" w:rsidRDefault="004E632C" w:rsidP="001A05DB">
      <w:pPr>
        <w:spacing w:after="0" w:line="240" w:lineRule="auto"/>
        <w:rPr>
          <w:rFonts w:ascii="Arial" w:hAnsi="Arial" w:cs="Arial"/>
          <w:b/>
        </w:rPr>
      </w:pPr>
      <w:r w:rsidRPr="001A05DB">
        <w:rPr>
          <w:rFonts w:ascii="Arial" w:hAnsi="Arial" w:cs="Arial"/>
          <w:b/>
        </w:rPr>
        <w:t>Nomination et renouvellement de consultants</w:t>
      </w:r>
    </w:p>
    <w:p w:rsidR="00E11E09" w:rsidRPr="001A05DB" w:rsidRDefault="00E11E09" w:rsidP="00F6130B">
      <w:pPr>
        <w:spacing w:after="0" w:line="240" w:lineRule="auto"/>
        <w:jc w:val="both"/>
        <w:rPr>
          <w:rFonts w:ascii="Arial" w:hAnsi="Arial" w:cs="Arial"/>
        </w:rPr>
      </w:pPr>
    </w:p>
    <w:p w:rsidR="00136E0C" w:rsidRDefault="004E632C" w:rsidP="004E632C">
      <w:pPr>
        <w:spacing w:after="0" w:line="240" w:lineRule="auto"/>
        <w:jc w:val="both"/>
        <w:rPr>
          <w:rFonts w:ascii="Arial" w:hAnsi="Arial" w:cs="Arial"/>
        </w:rPr>
      </w:pPr>
      <w:r w:rsidRPr="001A05DB">
        <w:rPr>
          <w:rFonts w:ascii="Arial" w:hAnsi="Arial" w:cs="Arial"/>
        </w:rPr>
        <w:t>Les crédits correspondant à la nomination ou au renouvelleme</w:t>
      </w:r>
      <w:r w:rsidR="009A4301" w:rsidRPr="001A05DB">
        <w:rPr>
          <w:rFonts w:ascii="Arial" w:hAnsi="Arial" w:cs="Arial"/>
        </w:rPr>
        <w:t>nt de consultants sont délégués</w:t>
      </w:r>
      <w:r w:rsidRPr="001A05DB">
        <w:rPr>
          <w:rFonts w:ascii="Arial" w:hAnsi="Arial" w:cs="Arial"/>
        </w:rPr>
        <w:t xml:space="preserve"> pour un montant total de </w:t>
      </w:r>
      <w:r w:rsidR="009A4301" w:rsidRPr="001A05DB">
        <w:rPr>
          <w:rFonts w:ascii="Arial" w:hAnsi="Arial" w:cs="Arial"/>
          <w:b/>
        </w:rPr>
        <w:t>0,</w:t>
      </w:r>
      <w:r w:rsidRPr="001A05DB">
        <w:rPr>
          <w:rFonts w:ascii="Arial" w:hAnsi="Arial" w:cs="Arial"/>
          <w:b/>
        </w:rPr>
        <w:t>14</w:t>
      </w:r>
      <w:r w:rsidR="009A4301" w:rsidRPr="001A05DB">
        <w:rPr>
          <w:rFonts w:ascii="Arial" w:hAnsi="Arial" w:cs="Arial"/>
          <w:b/>
        </w:rPr>
        <w:t>M</w:t>
      </w:r>
      <w:r w:rsidRPr="001A05DB">
        <w:rPr>
          <w:rFonts w:ascii="Arial" w:hAnsi="Arial" w:cs="Arial"/>
          <w:b/>
        </w:rPr>
        <w:t>€</w:t>
      </w:r>
      <w:r w:rsidRPr="001A05DB">
        <w:rPr>
          <w:rFonts w:ascii="Arial" w:hAnsi="Arial" w:cs="Arial"/>
        </w:rPr>
        <w:t xml:space="preserve"> </w:t>
      </w:r>
      <w:r w:rsidR="009A4301" w:rsidRPr="001A05DB">
        <w:rPr>
          <w:rFonts w:ascii="Arial" w:hAnsi="Arial" w:cs="Arial"/>
        </w:rPr>
        <w:t xml:space="preserve">de crédits </w:t>
      </w:r>
      <w:r w:rsidR="00B72954">
        <w:rPr>
          <w:rFonts w:ascii="Arial" w:hAnsi="Arial" w:cs="Arial"/>
        </w:rPr>
        <w:t xml:space="preserve">AC </w:t>
      </w:r>
      <w:r w:rsidR="009A4301" w:rsidRPr="001A05DB">
        <w:rPr>
          <w:rFonts w:ascii="Arial" w:hAnsi="Arial" w:cs="Arial"/>
        </w:rPr>
        <w:t xml:space="preserve">non reconductibles à raison de </w:t>
      </w:r>
      <w:r w:rsidR="00DB68C3">
        <w:rPr>
          <w:rFonts w:ascii="Arial" w:hAnsi="Arial" w:cs="Arial"/>
        </w:rPr>
        <w:t>70 500</w:t>
      </w:r>
      <w:r w:rsidRPr="001A05DB">
        <w:rPr>
          <w:rFonts w:ascii="Arial" w:hAnsi="Arial" w:cs="Arial"/>
        </w:rPr>
        <w:t xml:space="preserve">€ pour un consultant (montant brut annuel charges comprises). </w:t>
      </w:r>
    </w:p>
    <w:p w:rsidR="009732B1" w:rsidRDefault="009732B1" w:rsidP="004E632C">
      <w:pPr>
        <w:spacing w:after="0" w:line="240" w:lineRule="auto"/>
        <w:jc w:val="both"/>
        <w:rPr>
          <w:rFonts w:ascii="Arial" w:hAnsi="Arial" w:cs="Arial"/>
        </w:rPr>
      </w:pPr>
    </w:p>
    <w:p w:rsidR="009732B1" w:rsidRDefault="009732B1" w:rsidP="004E632C">
      <w:pPr>
        <w:spacing w:after="0" w:line="240" w:lineRule="auto"/>
        <w:jc w:val="both"/>
        <w:rPr>
          <w:rFonts w:ascii="Arial" w:hAnsi="Arial" w:cs="Arial"/>
        </w:rPr>
      </w:pPr>
    </w:p>
    <w:p w:rsidR="009732B1" w:rsidRPr="009732B1" w:rsidRDefault="009732B1" w:rsidP="009732B1">
      <w:pPr>
        <w:pStyle w:val="Paragraphedeliste"/>
        <w:numPr>
          <w:ilvl w:val="0"/>
          <w:numId w:val="7"/>
        </w:numPr>
        <w:spacing w:after="0" w:line="240" w:lineRule="auto"/>
        <w:rPr>
          <w:rFonts w:ascii="Arial" w:hAnsi="Arial" w:cs="Arial"/>
          <w:b/>
        </w:rPr>
      </w:pPr>
      <w:r w:rsidRPr="009732B1">
        <w:rPr>
          <w:rFonts w:ascii="Arial" w:hAnsi="Arial" w:cs="Arial"/>
          <w:b/>
        </w:rPr>
        <w:t>Les risques psychosociaux</w:t>
      </w:r>
    </w:p>
    <w:p w:rsidR="009732B1" w:rsidRPr="009732B1" w:rsidRDefault="009732B1" w:rsidP="009732B1">
      <w:pPr>
        <w:spacing w:after="0" w:line="240" w:lineRule="auto"/>
        <w:jc w:val="both"/>
        <w:rPr>
          <w:rFonts w:ascii="Arial" w:hAnsi="Arial" w:cs="Arial"/>
          <w:b/>
        </w:rPr>
      </w:pPr>
    </w:p>
    <w:p w:rsidR="009732B1" w:rsidRDefault="009732B1" w:rsidP="009732B1">
      <w:pPr>
        <w:spacing w:after="0" w:line="240" w:lineRule="auto"/>
        <w:jc w:val="both"/>
        <w:rPr>
          <w:rFonts w:ascii="Arial" w:hAnsi="Arial" w:cs="Arial"/>
        </w:rPr>
      </w:pPr>
      <w:r w:rsidRPr="001A05DB">
        <w:rPr>
          <w:rFonts w:ascii="Arial" w:hAnsi="Arial" w:cs="Arial"/>
        </w:rPr>
        <w:t>La politique engagée depuis quelques années par la DGOS  en  matière d’évaluation et de prévention des risques psychosociaux se traduit par un accompagnement de projets sélectionnés dans le cadre de l’appel à candidature national de juillet 2012. Celui-ci est destiné à accompagner certaines démarches novatrices dans la prévention des RPS, afin de les faire connaître et de les valoriser auprès d’établissements non encore engagés. L’accompagnement financier prévu pour une période de trois ans s’achèvera en 2015.</w:t>
      </w:r>
    </w:p>
    <w:p w:rsidR="009732B1" w:rsidRPr="001A05DB" w:rsidRDefault="009732B1" w:rsidP="009732B1">
      <w:pPr>
        <w:spacing w:after="0" w:line="240" w:lineRule="auto"/>
        <w:jc w:val="both"/>
        <w:rPr>
          <w:rFonts w:ascii="Arial" w:hAnsi="Arial" w:cs="Arial"/>
        </w:rPr>
      </w:pPr>
      <w:r w:rsidRPr="0099585E">
        <w:rPr>
          <w:rFonts w:ascii="Arial" w:hAnsi="Arial" w:cs="Arial"/>
          <w:b/>
        </w:rPr>
        <w:t>1M€</w:t>
      </w:r>
      <w:r>
        <w:rPr>
          <w:rFonts w:ascii="Arial" w:hAnsi="Arial" w:cs="Arial"/>
        </w:rPr>
        <w:t xml:space="preserve"> de financements en AC reconductibles sont versés à ce titre. </w:t>
      </w:r>
    </w:p>
    <w:p w:rsidR="009732B1" w:rsidRPr="001A05DB" w:rsidRDefault="009732B1" w:rsidP="004E632C">
      <w:pPr>
        <w:spacing w:after="0" w:line="240" w:lineRule="auto"/>
        <w:jc w:val="both"/>
        <w:rPr>
          <w:rFonts w:ascii="Arial" w:hAnsi="Arial" w:cs="Arial"/>
        </w:rPr>
      </w:pPr>
    </w:p>
    <w:sectPr w:rsidR="009732B1" w:rsidRPr="001A05DB" w:rsidSect="002A7EFB">
      <w:footerReference w:type="default" r:id="rId7"/>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1A1" w:rsidRDefault="004851A1" w:rsidP="001A05DB">
      <w:pPr>
        <w:spacing w:after="0" w:line="240" w:lineRule="auto"/>
      </w:pPr>
      <w:r>
        <w:separator/>
      </w:r>
    </w:p>
  </w:endnote>
  <w:endnote w:type="continuationSeparator" w:id="0">
    <w:p w:rsidR="004851A1" w:rsidRDefault="004851A1" w:rsidP="001A0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0344"/>
      <w:docPartObj>
        <w:docPartGallery w:val="Page Numbers (Bottom of Page)"/>
        <w:docPartUnique/>
      </w:docPartObj>
    </w:sdtPr>
    <w:sdtContent>
      <w:p w:rsidR="004851A1" w:rsidRDefault="00DF4146">
        <w:pPr>
          <w:pStyle w:val="Pieddepage"/>
          <w:jc w:val="right"/>
        </w:pPr>
        <w:fldSimple w:instr=" PAGE   \* MERGEFORMAT ">
          <w:r w:rsidR="005D490A">
            <w:rPr>
              <w:noProof/>
            </w:rPr>
            <w:t>2</w:t>
          </w:r>
        </w:fldSimple>
      </w:p>
    </w:sdtContent>
  </w:sdt>
  <w:p w:rsidR="004851A1" w:rsidRDefault="004851A1">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1A1" w:rsidRDefault="004851A1" w:rsidP="001A05DB">
      <w:pPr>
        <w:spacing w:after="0" w:line="240" w:lineRule="auto"/>
      </w:pPr>
      <w:r>
        <w:separator/>
      </w:r>
    </w:p>
  </w:footnote>
  <w:footnote w:type="continuationSeparator" w:id="0">
    <w:p w:rsidR="004851A1" w:rsidRDefault="004851A1" w:rsidP="001A05DB">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D29"/>
    <w:multiLevelType w:val="hybridMultilevel"/>
    <w:tmpl w:val="171AAB0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071559F1"/>
    <w:multiLevelType w:val="hybridMultilevel"/>
    <w:tmpl w:val="AECEB62C"/>
    <w:lvl w:ilvl="0" w:tplc="E0C0B9CC">
      <w:start w:val="1"/>
      <w:numFmt w:val="bullet"/>
      <w:lvlText w:val=""/>
      <w:lvlJc w:val="left"/>
      <w:pPr>
        <w:ind w:left="578" w:hanging="360"/>
      </w:pPr>
      <w:rPr>
        <w:rFonts w:ascii="Wingdings" w:hAnsi="Wingdings" w:hint="default"/>
        <w:color w:val="1F497D" w:themeColor="text2"/>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nsid w:val="0A144BFA"/>
    <w:multiLevelType w:val="hybridMultilevel"/>
    <w:tmpl w:val="A6F213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F102AE"/>
    <w:multiLevelType w:val="hybridMultilevel"/>
    <w:tmpl w:val="D79AC8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6A6F41"/>
    <w:multiLevelType w:val="hybridMultilevel"/>
    <w:tmpl w:val="B3E86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3D552C"/>
    <w:multiLevelType w:val="hybridMultilevel"/>
    <w:tmpl w:val="99060D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15A2EAE"/>
    <w:multiLevelType w:val="hybridMultilevel"/>
    <w:tmpl w:val="14E04A32"/>
    <w:lvl w:ilvl="0" w:tplc="A9DAAF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BC52448"/>
    <w:multiLevelType w:val="hybridMultilevel"/>
    <w:tmpl w:val="3D58BD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73B42131"/>
    <w:multiLevelType w:val="hybridMultilevel"/>
    <w:tmpl w:val="02A84260"/>
    <w:lvl w:ilvl="0" w:tplc="996645A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rsids>
    <w:rsidRoot w:val="00136E0C"/>
    <w:rsid w:val="00003193"/>
    <w:rsid w:val="000773F5"/>
    <w:rsid w:val="00080590"/>
    <w:rsid w:val="00081425"/>
    <w:rsid w:val="000B07E2"/>
    <w:rsid w:val="000E444E"/>
    <w:rsid w:val="000F04AB"/>
    <w:rsid w:val="001022C7"/>
    <w:rsid w:val="001043FB"/>
    <w:rsid w:val="00114B9A"/>
    <w:rsid w:val="00136E0C"/>
    <w:rsid w:val="00151775"/>
    <w:rsid w:val="00192183"/>
    <w:rsid w:val="001A05DB"/>
    <w:rsid w:val="001C3FE3"/>
    <w:rsid w:val="001F5A0F"/>
    <w:rsid w:val="00215623"/>
    <w:rsid w:val="00221D7D"/>
    <w:rsid w:val="002328FF"/>
    <w:rsid w:val="002420D8"/>
    <w:rsid w:val="002A70C3"/>
    <w:rsid w:val="002A7EFB"/>
    <w:rsid w:val="002B4E2C"/>
    <w:rsid w:val="002D5386"/>
    <w:rsid w:val="002E7522"/>
    <w:rsid w:val="002F7FA3"/>
    <w:rsid w:val="0034236E"/>
    <w:rsid w:val="003442ED"/>
    <w:rsid w:val="00352BFF"/>
    <w:rsid w:val="003A1D53"/>
    <w:rsid w:val="003A3AB3"/>
    <w:rsid w:val="003D56DA"/>
    <w:rsid w:val="003F4ABF"/>
    <w:rsid w:val="00404EF3"/>
    <w:rsid w:val="004345B8"/>
    <w:rsid w:val="004515D6"/>
    <w:rsid w:val="0045527C"/>
    <w:rsid w:val="004851A1"/>
    <w:rsid w:val="004872F7"/>
    <w:rsid w:val="004943E7"/>
    <w:rsid w:val="004A1043"/>
    <w:rsid w:val="004D2818"/>
    <w:rsid w:val="004E632C"/>
    <w:rsid w:val="00524C05"/>
    <w:rsid w:val="00534318"/>
    <w:rsid w:val="00546649"/>
    <w:rsid w:val="005A196D"/>
    <w:rsid w:val="005D490A"/>
    <w:rsid w:val="00666054"/>
    <w:rsid w:val="0069311E"/>
    <w:rsid w:val="00693486"/>
    <w:rsid w:val="00694ED8"/>
    <w:rsid w:val="00695924"/>
    <w:rsid w:val="00697710"/>
    <w:rsid w:val="006D1179"/>
    <w:rsid w:val="006D5B85"/>
    <w:rsid w:val="0070542A"/>
    <w:rsid w:val="00752C71"/>
    <w:rsid w:val="0081290D"/>
    <w:rsid w:val="00861009"/>
    <w:rsid w:val="00897913"/>
    <w:rsid w:val="008C076C"/>
    <w:rsid w:val="008F14CA"/>
    <w:rsid w:val="009020A6"/>
    <w:rsid w:val="00904431"/>
    <w:rsid w:val="009055F1"/>
    <w:rsid w:val="00910F47"/>
    <w:rsid w:val="0092554C"/>
    <w:rsid w:val="00936CB9"/>
    <w:rsid w:val="009732B1"/>
    <w:rsid w:val="0099585E"/>
    <w:rsid w:val="00997FDA"/>
    <w:rsid w:val="009A2E35"/>
    <w:rsid w:val="009A4301"/>
    <w:rsid w:val="009C1A66"/>
    <w:rsid w:val="009D52DD"/>
    <w:rsid w:val="009D5ADC"/>
    <w:rsid w:val="009E65DD"/>
    <w:rsid w:val="00A431C1"/>
    <w:rsid w:val="00A63A6B"/>
    <w:rsid w:val="00A97617"/>
    <w:rsid w:val="00AA24BB"/>
    <w:rsid w:val="00B44A33"/>
    <w:rsid w:val="00B52A79"/>
    <w:rsid w:val="00B5638B"/>
    <w:rsid w:val="00B72954"/>
    <w:rsid w:val="00B933C5"/>
    <w:rsid w:val="00B93CF8"/>
    <w:rsid w:val="00BA0DD8"/>
    <w:rsid w:val="00BA785C"/>
    <w:rsid w:val="00BD54A7"/>
    <w:rsid w:val="00BF2737"/>
    <w:rsid w:val="00C32088"/>
    <w:rsid w:val="00C418BA"/>
    <w:rsid w:val="00C52D56"/>
    <w:rsid w:val="00C814E0"/>
    <w:rsid w:val="00C84B02"/>
    <w:rsid w:val="00CA5BA8"/>
    <w:rsid w:val="00CC0796"/>
    <w:rsid w:val="00CE34C8"/>
    <w:rsid w:val="00D35CAC"/>
    <w:rsid w:val="00D41ED5"/>
    <w:rsid w:val="00D51BE8"/>
    <w:rsid w:val="00DB68C3"/>
    <w:rsid w:val="00DF4146"/>
    <w:rsid w:val="00E00116"/>
    <w:rsid w:val="00E0787D"/>
    <w:rsid w:val="00E11E09"/>
    <w:rsid w:val="00E514ED"/>
    <w:rsid w:val="00EB32D4"/>
    <w:rsid w:val="00F0633F"/>
    <w:rsid w:val="00F17A7D"/>
    <w:rsid w:val="00F17F41"/>
    <w:rsid w:val="00F204D1"/>
    <w:rsid w:val="00F32E24"/>
    <w:rsid w:val="00F44853"/>
    <w:rsid w:val="00F6130B"/>
    <w:rsid w:val="00F76424"/>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F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59"/>
    <w:rsid w:val="004E6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E632C"/>
    <w:pPr>
      <w:ind w:left="720"/>
      <w:contextualSpacing/>
    </w:pPr>
    <w:rPr>
      <w:rFonts w:ascii="Times New Roman" w:hAnsi="Times New Roman"/>
      <w:sz w:val="24"/>
    </w:rPr>
  </w:style>
  <w:style w:type="character" w:styleId="lev">
    <w:name w:val="Strong"/>
    <w:basedOn w:val="Policepardfaut"/>
    <w:uiPriority w:val="22"/>
    <w:qFormat/>
    <w:rsid w:val="004E632C"/>
    <w:rPr>
      <w:b/>
      <w:bCs/>
    </w:rPr>
  </w:style>
  <w:style w:type="paragraph" w:styleId="En-tte">
    <w:name w:val="header"/>
    <w:basedOn w:val="Normal"/>
    <w:link w:val="En-tteCar"/>
    <w:uiPriority w:val="99"/>
    <w:semiHidden/>
    <w:unhideWhenUsed/>
    <w:rsid w:val="001A05D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A05DB"/>
  </w:style>
  <w:style w:type="paragraph" w:styleId="Pieddepage">
    <w:name w:val="footer"/>
    <w:basedOn w:val="Normal"/>
    <w:link w:val="PieddepageCar"/>
    <w:uiPriority w:val="99"/>
    <w:unhideWhenUsed/>
    <w:rsid w:val="001A0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05DB"/>
  </w:style>
</w:styles>
</file>

<file path=word/webSettings.xml><?xml version="1.0" encoding="utf-8"?>
<w:webSettings xmlns:r="http://schemas.openxmlformats.org/officeDocument/2006/relationships" xmlns:w="http://schemas.openxmlformats.org/wordprocessingml/2006/main">
  <w:divs>
    <w:div w:id="157156956">
      <w:bodyDiv w:val="1"/>
      <w:marLeft w:val="0"/>
      <w:marRight w:val="0"/>
      <w:marTop w:val="0"/>
      <w:marBottom w:val="0"/>
      <w:divBdr>
        <w:top w:val="none" w:sz="0" w:space="0" w:color="auto"/>
        <w:left w:val="none" w:sz="0" w:space="0" w:color="auto"/>
        <w:bottom w:val="none" w:sz="0" w:space="0" w:color="auto"/>
        <w:right w:val="none" w:sz="0" w:space="0" w:color="auto"/>
      </w:divBdr>
    </w:div>
    <w:div w:id="1137646130">
      <w:bodyDiv w:val="1"/>
      <w:marLeft w:val="0"/>
      <w:marRight w:val="0"/>
      <w:marTop w:val="0"/>
      <w:marBottom w:val="0"/>
      <w:divBdr>
        <w:top w:val="none" w:sz="0" w:space="0" w:color="auto"/>
        <w:left w:val="none" w:sz="0" w:space="0" w:color="auto"/>
        <w:bottom w:val="none" w:sz="0" w:space="0" w:color="auto"/>
        <w:right w:val="none" w:sz="0" w:space="0" w:color="auto"/>
      </w:divBdr>
    </w:div>
    <w:div w:id="172841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8097</Characters>
  <Application>Microsoft Macintosh Word</Application>
  <DocSecurity>0</DocSecurity>
  <Lines>67</Lines>
  <Paragraphs>16</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vpajevic</dc:creator>
  <cp:keywords/>
  <dc:description/>
  <cp:lastModifiedBy>crouzet</cp:lastModifiedBy>
  <cp:revision>2</cp:revision>
  <dcterms:created xsi:type="dcterms:W3CDTF">2014-04-09T12:54:00Z</dcterms:created>
  <dcterms:modified xsi:type="dcterms:W3CDTF">2014-04-09T12:54:00Z</dcterms:modified>
</cp:coreProperties>
</file>