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59" w:rsidRPr="00060C56" w:rsidRDefault="00F721CD" w:rsidP="00060C56">
      <w:pPr>
        <w:pBdr>
          <w:top w:val="single" w:sz="4" w:space="1" w:color="auto"/>
          <w:left w:val="single" w:sz="4" w:space="4" w:color="auto"/>
          <w:bottom w:val="single" w:sz="4" w:space="1" w:color="auto"/>
          <w:right w:val="single" w:sz="4" w:space="4" w:color="auto"/>
        </w:pBdr>
        <w:autoSpaceDE w:val="0"/>
        <w:autoSpaceDN w:val="0"/>
        <w:jc w:val="center"/>
        <w:rPr>
          <w:rFonts w:ascii="Arial" w:hAnsi="Arial" w:cs="Arial"/>
          <w:b/>
          <w:bCs/>
          <w:sz w:val="22"/>
          <w:szCs w:val="22"/>
        </w:rPr>
      </w:pPr>
      <w:r>
        <w:rPr>
          <w:rFonts w:ascii="Arial" w:hAnsi="Arial" w:cs="Arial"/>
          <w:b/>
          <w:bCs/>
          <w:sz w:val="22"/>
          <w:szCs w:val="22"/>
        </w:rPr>
        <w:t>Annexe IV</w:t>
      </w:r>
      <w:r w:rsidR="00C2659D">
        <w:rPr>
          <w:rFonts w:ascii="Arial" w:hAnsi="Arial" w:cs="Arial"/>
          <w:b/>
          <w:bCs/>
          <w:sz w:val="22"/>
          <w:szCs w:val="22"/>
        </w:rPr>
        <w:t> : Evolution</w:t>
      </w:r>
      <w:r w:rsidR="00C166A3">
        <w:rPr>
          <w:rFonts w:ascii="Arial" w:hAnsi="Arial" w:cs="Arial"/>
          <w:b/>
          <w:bCs/>
          <w:sz w:val="22"/>
          <w:szCs w:val="22"/>
        </w:rPr>
        <w:t xml:space="preserve"> des MIG pour 2014</w:t>
      </w:r>
    </w:p>
    <w:p w:rsidR="00194959" w:rsidRPr="00194959" w:rsidRDefault="00194959" w:rsidP="00194959">
      <w:pPr>
        <w:autoSpaceDE w:val="0"/>
        <w:autoSpaceDN w:val="0"/>
        <w:jc w:val="both"/>
        <w:rPr>
          <w:rFonts w:ascii="Arial" w:hAnsi="Arial" w:cs="Arial"/>
          <w:bCs/>
          <w:sz w:val="22"/>
          <w:szCs w:val="22"/>
        </w:rPr>
      </w:pPr>
    </w:p>
    <w:p w:rsidR="009E62AD" w:rsidRDefault="009E62AD" w:rsidP="009E62AD">
      <w:pPr>
        <w:pStyle w:val="Default"/>
        <w:jc w:val="both"/>
        <w:rPr>
          <w:rFonts w:eastAsia="MS Mincho"/>
          <w:color w:val="auto"/>
          <w:sz w:val="22"/>
          <w:szCs w:val="22"/>
          <w:lang w:eastAsia="ja-JP"/>
        </w:rPr>
      </w:pPr>
    </w:p>
    <w:p w:rsidR="009B6969" w:rsidRDefault="009E62AD" w:rsidP="009B6969">
      <w:pPr>
        <w:pStyle w:val="Default"/>
        <w:jc w:val="both"/>
        <w:rPr>
          <w:rFonts w:eastAsia="MS Mincho"/>
          <w:color w:val="auto"/>
          <w:sz w:val="22"/>
          <w:szCs w:val="22"/>
          <w:lang w:eastAsia="ja-JP"/>
        </w:rPr>
      </w:pPr>
      <w:r>
        <w:rPr>
          <w:rFonts w:eastAsia="MS Mincho"/>
          <w:color w:val="auto"/>
          <w:sz w:val="22"/>
          <w:szCs w:val="22"/>
          <w:lang w:eastAsia="ja-JP"/>
        </w:rPr>
        <w:t xml:space="preserve">A l’issue des travaux menés en 2013, </w:t>
      </w:r>
      <w:r w:rsidR="00227C20">
        <w:rPr>
          <w:rFonts w:eastAsia="MS Mincho"/>
          <w:color w:val="auto"/>
          <w:sz w:val="22"/>
          <w:szCs w:val="22"/>
          <w:lang w:eastAsia="ja-JP"/>
        </w:rPr>
        <w:t>certaines MIG ont évolué</w:t>
      </w:r>
      <w:r w:rsidR="00460090">
        <w:rPr>
          <w:rFonts w:eastAsia="MS Mincho"/>
          <w:color w:val="auto"/>
          <w:sz w:val="22"/>
          <w:szCs w:val="22"/>
          <w:lang w:eastAsia="ja-JP"/>
        </w:rPr>
        <w:t>es</w:t>
      </w:r>
      <w:r w:rsidR="00227C20">
        <w:rPr>
          <w:rFonts w:eastAsia="MS Mincho"/>
          <w:color w:val="auto"/>
          <w:sz w:val="22"/>
          <w:szCs w:val="22"/>
          <w:lang w:eastAsia="ja-JP"/>
        </w:rPr>
        <w:t>.</w:t>
      </w:r>
      <w:r w:rsidR="009B6969" w:rsidRPr="009B6969">
        <w:rPr>
          <w:rFonts w:eastAsia="MS Mincho"/>
          <w:color w:val="auto"/>
          <w:sz w:val="22"/>
          <w:szCs w:val="22"/>
          <w:lang w:eastAsia="ja-JP"/>
        </w:rPr>
        <w:t xml:space="preserve"> </w:t>
      </w:r>
      <w:r w:rsidR="009B6969">
        <w:rPr>
          <w:rFonts w:eastAsia="MS Mincho"/>
          <w:color w:val="auto"/>
          <w:sz w:val="22"/>
          <w:szCs w:val="22"/>
          <w:lang w:eastAsia="ja-JP"/>
        </w:rPr>
        <w:t xml:space="preserve">La présente annexe a pour objet de vous présenter ces évolutions afin de vous accompagner dans l’allocation des crédits correspondants. </w:t>
      </w:r>
    </w:p>
    <w:p w:rsidR="009B6969" w:rsidRPr="00194959" w:rsidRDefault="009B6969" w:rsidP="009B6969">
      <w:pPr>
        <w:jc w:val="both"/>
        <w:rPr>
          <w:rFonts w:ascii="Arial" w:hAnsi="Arial" w:cs="Arial"/>
          <w:sz w:val="22"/>
          <w:szCs w:val="22"/>
        </w:rPr>
      </w:pPr>
    </w:p>
    <w:p w:rsidR="002A7EFB" w:rsidRDefault="009B6969" w:rsidP="009B6969">
      <w:pPr>
        <w:pStyle w:val="Default"/>
        <w:jc w:val="both"/>
        <w:rPr>
          <w:rFonts w:eastAsia="MS Mincho"/>
          <w:color w:val="auto"/>
          <w:sz w:val="22"/>
          <w:szCs w:val="22"/>
          <w:lang w:eastAsia="ja-JP"/>
        </w:rPr>
      </w:pPr>
      <w:r>
        <w:rPr>
          <w:rFonts w:eastAsia="MS Mincho"/>
          <w:color w:val="auto"/>
          <w:sz w:val="22"/>
          <w:szCs w:val="22"/>
          <w:lang w:eastAsia="ja-JP"/>
        </w:rPr>
        <w:t>Par ailleurs, n</w:t>
      </w:r>
      <w:r w:rsidR="00F00059">
        <w:rPr>
          <w:rFonts w:eastAsia="MS Mincho"/>
          <w:color w:val="auto"/>
          <w:sz w:val="22"/>
          <w:szCs w:val="22"/>
          <w:lang w:eastAsia="ja-JP"/>
        </w:rPr>
        <w:t>ous vous rappelons que l’hospitalisation à domicile est</w:t>
      </w:r>
      <w:r>
        <w:rPr>
          <w:rFonts w:eastAsia="MS Mincho"/>
          <w:color w:val="auto"/>
          <w:sz w:val="22"/>
          <w:szCs w:val="22"/>
          <w:lang w:eastAsia="ja-JP"/>
        </w:rPr>
        <w:t xml:space="preserve">, comme tout établissement de santé du champ MCO, </w:t>
      </w:r>
      <w:r w:rsidR="00F00059">
        <w:rPr>
          <w:rFonts w:eastAsia="MS Mincho"/>
          <w:color w:val="auto"/>
          <w:sz w:val="22"/>
          <w:szCs w:val="22"/>
          <w:lang w:eastAsia="ja-JP"/>
        </w:rPr>
        <w:t xml:space="preserve">éligible </w:t>
      </w:r>
      <w:r>
        <w:rPr>
          <w:rFonts w:eastAsia="MS Mincho"/>
          <w:color w:val="auto"/>
          <w:sz w:val="22"/>
          <w:szCs w:val="22"/>
          <w:lang w:eastAsia="ja-JP"/>
        </w:rPr>
        <w:t>aux crédits</w:t>
      </w:r>
      <w:r w:rsidR="00F00059">
        <w:rPr>
          <w:rFonts w:eastAsia="MS Mincho"/>
          <w:color w:val="auto"/>
          <w:sz w:val="22"/>
          <w:szCs w:val="22"/>
          <w:lang w:eastAsia="ja-JP"/>
        </w:rPr>
        <w:t xml:space="preserve"> MIGAC. </w:t>
      </w:r>
    </w:p>
    <w:p w:rsidR="009B6969" w:rsidRPr="00194959" w:rsidRDefault="009B6969" w:rsidP="009B6969">
      <w:pPr>
        <w:pStyle w:val="Default"/>
        <w:jc w:val="both"/>
        <w:rPr>
          <w:sz w:val="22"/>
          <w:szCs w:val="22"/>
        </w:rPr>
      </w:pPr>
    </w:p>
    <w:p w:rsidR="009F178D" w:rsidRDefault="009F178D" w:rsidP="009F178D">
      <w:pPr>
        <w:pStyle w:val="Default"/>
        <w:jc w:val="both"/>
        <w:rPr>
          <w:rFonts w:eastAsia="MS Mincho"/>
          <w:color w:val="auto"/>
          <w:sz w:val="22"/>
          <w:szCs w:val="22"/>
          <w:lang w:eastAsia="ja-JP"/>
        </w:rPr>
      </w:pPr>
    </w:p>
    <w:p w:rsidR="009F178D" w:rsidRPr="00166AEF" w:rsidRDefault="009F178D" w:rsidP="005227F5">
      <w:pPr>
        <w:pStyle w:val="Default"/>
        <w:numPr>
          <w:ilvl w:val="0"/>
          <w:numId w:val="5"/>
        </w:numPr>
        <w:jc w:val="both"/>
        <w:rPr>
          <w:rFonts w:eastAsia="MS Mincho"/>
          <w:b/>
          <w:color w:val="auto"/>
          <w:sz w:val="22"/>
          <w:szCs w:val="22"/>
          <w:lang w:eastAsia="ja-JP"/>
        </w:rPr>
      </w:pPr>
      <w:r w:rsidRPr="00166AEF">
        <w:rPr>
          <w:rFonts w:eastAsia="MS Mincho"/>
          <w:b/>
          <w:color w:val="auto"/>
          <w:sz w:val="22"/>
          <w:szCs w:val="22"/>
          <w:lang w:eastAsia="ja-JP"/>
        </w:rPr>
        <w:t>Création de deux nouvelles missions d’intérêt général</w:t>
      </w:r>
    </w:p>
    <w:p w:rsidR="009F178D" w:rsidRDefault="009F178D" w:rsidP="009F178D">
      <w:pPr>
        <w:pStyle w:val="Default"/>
        <w:jc w:val="both"/>
        <w:rPr>
          <w:rFonts w:eastAsia="MS Mincho"/>
          <w:color w:val="auto"/>
          <w:sz w:val="22"/>
          <w:szCs w:val="22"/>
          <w:lang w:eastAsia="ja-JP"/>
        </w:rPr>
      </w:pPr>
    </w:p>
    <w:p w:rsidR="009F178D" w:rsidRDefault="009F178D" w:rsidP="009F178D">
      <w:pPr>
        <w:pStyle w:val="Default"/>
        <w:jc w:val="both"/>
        <w:rPr>
          <w:rFonts w:eastAsia="MS Mincho"/>
          <w:color w:val="auto"/>
          <w:sz w:val="22"/>
          <w:szCs w:val="22"/>
          <w:lang w:eastAsia="ja-JP"/>
        </w:rPr>
      </w:pPr>
      <w:r>
        <w:rPr>
          <w:rFonts w:eastAsia="MS Mincho"/>
          <w:color w:val="auto"/>
          <w:sz w:val="22"/>
          <w:szCs w:val="22"/>
          <w:lang w:eastAsia="ja-JP"/>
        </w:rPr>
        <w:t>Deux nouvelles MIG que sont « l’activité médicale en mer » et les « cellules d’urgence médico-psychologique (CUMP) » ont été créées</w:t>
      </w:r>
      <w:r w:rsidR="005227F5">
        <w:rPr>
          <w:rFonts w:eastAsia="MS Mincho"/>
          <w:color w:val="auto"/>
          <w:sz w:val="22"/>
          <w:szCs w:val="22"/>
          <w:lang w:eastAsia="ja-JP"/>
        </w:rPr>
        <w:t xml:space="preserve"> pour 2014. </w:t>
      </w:r>
    </w:p>
    <w:p w:rsidR="009F178D" w:rsidRDefault="009F178D" w:rsidP="009F178D">
      <w:pPr>
        <w:pStyle w:val="Default"/>
        <w:jc w:val="both"/>
        <w:rPr>
          <w:rFonts w:eastAsia="MS Mincho"/>
          <w:color w:val="auto"/>
          <w:sz w:val="22"/>
          <w:szCs w:val="22"/>
          <w:lang w:eastAsia="ja-JP"/>
        </w:rPr>
      </w:pPr>
    </w:p>
    <w:p w:rsidR="009F178D" w:rsidRDefault="009F178D" w:rsidP="009F178D">
      <w:pPr>
        <w:pStyle w:val="Default"/>
        <w:jc w:val="both"/>
        <w:rPr>
          <w:rFonts w:eastAsia="MS Mincho"/>
          <w:color w:val="auto"/>
          <w:sz w:val="22"/>
          <w:szCs w:val="22"/>
          <w:lang w:eastAsia="ja-JP"/>
        </w:rPr>
      </w:pPr>
    </w:p>
    <w:p w:rsidR="009F178D" w:rsidRPr="00735B57" w:rsidRDefault="009F178D" w:rsidP="009F178D">
      <w:pPr>
        <w:autoSpaceDE w:val="0"/>
        <w:autoSpaceDN w:val="0"/>
        <w:adjustRightInd w:val="0"/>
        <w:jc w:val="both"/>
        <w:rPr>
          <w:rFonts w:ascii="Arial" w:hAnsi="Arial" w:cs="Arial"/>
          <w:b/>
          <w:sz w:val="22"/>
          <w:szCs w:val="22"/>
        </w:rPr>
      </w:pPr>
      <w:r w:rsidRPr="00735B57">
        <w:rPr>
          <w:rFonts w:ascii="Arial" w:hAnsi="Arial" w:cs="Arial"/>
          <w:b/>
          <w:sz w:val="22"/>
          <w:szCs w:val="22"/>
        </w:rPr>
        <w:t xml:space="preserve">La MIG </w:t>
      </w:r>
      <w:r>
        <w:rPr>
          <w:rFonts w:ascii="Arial" w:hAnsi="Arial" w:cs="Arial"/>
          <w:b/>
          <w:sz w:val="22"/>
          <w:szCs w:val="22"/>
        </w:rPr>
        <w:t>« </w:t>
      </w:r>
      <w:r w:rsidRPr="00735B57">
        <w:rPr>
          <w:rFonts w:ascii="Arial" w:hAnsi="Arial" w:cs="Arial"/>
          <w:b/>
          <w:sz w:val="22"/>
          <w:szCs w:val="22"/>
        </w:rPr>
        <w:t>Aide médicale en mer</w:t>
      </w:r>
      <w:r>
        <w:rPr>
          <w:rFonts w:ascii="Arial" w:hAnsi="Arial" w:cs="Arial"/>
          <w:b/>
          <w:sz w:val="22"/>
          <w:szCs w:val="22"/>
        </w:rPr>
        <w:t> »</w:t>
      </w:r>
    </w:p>
    <w:p w:rsidR="009F178D" w:rsidRPr="00735B57" w:rsidRDefault="009F178D" w:rsidP="009F178D">
      <w:pPr>
        <w:autoSpaceDE w:val="0"/>
        <w:autoSpaceDN w:val="0"/>
        <w:jc w:val="both"/>
        <w:rPr>
          <w:rFonts w:ascii="Arial" w:hAnsi="Arial" w:cs="Arial"/>
          <w:sz w:val="22"/>
          <w:szCs w:val="22"/>
        </w:rPr>
      </w:pPr>
    </w:p>
    <w:p w:rsidR="009F178D" w:rsidRDefault="009F178D" w:rsidP="009F178D">
      <w:pPr>
        <w:jc w:val="both"/>
        <w:rPr>
          <w:rFonts w:ascii="Arial" w:hAnsi="Arial" w:cs="Arial"/>
          <w:sz w:val="22"/>
          <w:szCs w:val="22"/>
        </w:rPr>
      </w:pPr>
      <w:r w:rsidRPr="00735B57">
        <w:rPr>
          <w:rFonts w:ascii="Arial" w:hAnsi="Arial" w:cs="Arial"/>
          <w:sz w:val="22"/>
          <w:szCs w:val="22"/>
        </w:rPr>
        <w:t>L’instruction n°DGOS/R2/2013/409 du 22 novembre 2013, relative à la désignation des SCMM (SAMU de coordination médicale maritimes) et des SMUR-M (SMUR maritimes) dans le cadre de l’aide médicale en mer, liste les établissements de santé pour lesquels les SAMU et/ou SMUR sont amenés à intervenir dans le cadre de l’aide médicale urgente en milieu maritime hauturier.</w:t>
      </w:r>
    </w:p>
    <w:p w:rsidR="009F178D" w:rsidRPr="00735B57" w:rsidRDefault="009F178D" w:rsidP="009F178D">
      <w:pPr>
        <w:jc w:val="both"/>
        <w:rPr>
          <w:rFonts w:ascii="Arial" w:hAnsi="Arial" w:cs="Arial"/>
          <w:sz w:val="22"/>
          <w:szCs w:val="22"/>
        </w:rPr>
      </w:pPr>
    </w:p>
    <w:p w:rsidR="009F178D" w:rsidRDefault="009F178D" w:rsidP="009F178D">
      <w:pPr>
        <w:jc w:val="both"/>
        <w:rPr>
          <w:rFonts w:ascii="Arial" w:hAnsi="Arial" w:cs="Arial"/>
          <w:sz w:val="22"/>
          <w:szCs w:val="22"/>
        </w:rPr>
      </w:pPr>
      <w:r w:rsidRPr="00735B57">
        <w:rPr>
          <w:rFonts w:ascii="Arial" w:hAnsi="Arial" w:cs="Arial"/>
          <w:sz w:val="22"/>
          <w:szCs w:val="22"/>
        </w:rPr>
        <w:t>Au regard des particularités des interventions en mer : longueur des interventions, aspect périlleux, besoins en équipements adaptés, organisation des ressources humaines pour ne pas mettre à mal l’activité terrestre, il s’avère que les SCMM et SMUR-M ont des besoins de financement particuliers en termes d’équipement (dont équipement médical et moyens de communication), de rémunération d’une astreinte, et de formation/entraînement.</w:t>
      </w:r>
    </w:p>
    <w:p w:rsidR="009F178D" w:rsidRPr="00735B57" w:rsidRDefault="009F178D" w:rsidP="009F178D">
      <w:pPr>
        <w:jc w:val="both"/>
        <w:rPr>
          <w:rFonts w:ascii="Arial" w:hAnsi="Arial" w:cs="Arial"/>
          <w:sz w:val="22"/>
          <w:szCs w:val="22"/>
        </w:rPr>
      </w:pPr>
    </w:p>
    <w:p w:rsidR="004172B0" w:rsidRDefault="003F5F02" w:rsidP="009F178D">
      <w:pPr>
        <w:jc w:val="both"/>
        <w:rPr>
          <w:rFonts w:ascii="Arial" w:hAnsi="Arial" w:cs="Arial"/>
          <w:sz w:val="22"/>
          <w:szCs w:val="22"/>
        </w:rPr>
      </w:pPr>
      <w:r w:rsidRPr="00667EF6">
        <w:rPr>
          <w:rFonts w:ascii="Arial" w:hAnsi="Arial" w:cs="Arial"/>
          <w:b/>
          <w:sz w:val="22"/>
          <w:szCs w:val="22"/>
        </w:rPr>
        <w:t>1,9</w:t>
      </w:r>
      <w:r>
        <w:rPr>
          <w:rFonts w:ascii="Arial" w:hAnsi="Arial" w:cs="Arial"/>
          <w:b/>
          <w:sz w:val="22"/>
          <w:szCs w:val="22"/>
        </w:rPr>
        <w:t>2</w:t>
      </w:r>
      <w:r w:rsidRPr="00667EF6">
        <w:rPr>
          <w:rFonts w:ascii="Arial" w:hAnsi="Arial" w:cs="Arial"/>
          <w:b/>
          <w:sz w:val="22"/>
          <w:szCs w:val="22"/>
        </w:rPr>
        <w:t>M€</w:t>
      </w:r>
      <w:r>
        <w:rPr>
          <w:rFonts w:ascii="Arial" w:hAnsi="Arial" w:cs="Arial"/>
          <w:b/>
          <w:sz w:val="22"/>
          <w:szCs w:val="22"/>
        </w:rPr>
        <w:t xml:space="preserve"> </w:t>
      </w:r>
      <w:r>
        <w:rPr>
          <w:rFonts w:ascii="Arial" w:hAnsi="Arial" w:cs="Arial"/>
          <w:sz w:val="22"/>
          <w:szCs w:val="22"/>
        </w:rPr>
        <w:t xml:space="preserve">de </w:t>
      </w:r>
      <w:r w:rsidR="004079E5">
        <w:rPr>
          <w:rFonts w:ascii="Arial" w:hAnsi="Arial" w:cs="Arial"/>
          <w:sz w:val="22"/>
          <w:szCs w:val="22"/>
        </w:rPr>
        <w:t>crédits</w:t>
      </w:r>
      <w:r w:rsidR="009F178D" w:rsidRPr="00FF1282">
        <w:rPr>
          <w:rFonts w:ascii="Arial" w:hAnsi="Arial" w:cs="Arial"/>
          <w:sz w:val="22"/>
          <w:szCs w:val="22"/>
        </w:rPr>
        <w:t xml:space="preserve"> MIG</w:t>
      </w:r>
      <w:r>
        <w:rPr>
          <w:rFonts w:ascii="Arial" w:hAnsi="Arial" w:cs="Arial"/>
          <w:sz w:val="22"/>
          <w:szCs w:val="22"/>
        </w:rPr>
        <w:t xml:space="preserve"> et DAF, sont délégués respectivement en JPE et </w:t>
      </w:r>
      <w:r w:rsidR="000D7E3F">
        <w:rPr>
          <w:rFonts w:ascii="Arial" w:hAnsi="Arial" w:cs="Arial"/>
          <w:sz w:val="22"/>
          <w:szCs w:val="22"/>
        </w:rPr>
        <w:t xml:space="preserve">en </w:t>
      </w:r>
      <w:r w:rsidR="004079E5">
        <w:rPr>
          <w:rFonts w:ascii="Arial" w:hAnsi="Arial" w:cs="Arial"/>
          <w:sz w:val="22"/>
          <w:szCs w:val="22"/>
        </w:rPr>
        <w:t>non reconductible</w:t>
      </w:r>
      <w:r>
        <w:rPr>
          <w:rFonts w:ascii="Arial" w:hAnsi="Arial" w:cs="Arial"/>
          <w:sz w:val="22"/>
          <w:szCs w:val="22"/>
        </w:rPr>
        <w:t xml:space="preserve"> au titre</w:t>
      </w:r>
      <w:r w:rsidR="009F178D" w:rsidRPr="00FF1282">
        <w:rPr>
          <w:rFonts w:ascii="Arial" w:hAnsi="Arial" w:cs="Arial"/>
          <w:sz w:val="22"/>
          <w:szCs w:val="22"/>
        </w:rPr>
        <w:t xml:space="preserve"> du fonctionnement</w:t>
      </w:r>
      <w:r w:rsidR="000D7E3F">
        <w:rPr>
          <w:rFonts w:ascii="Arial" w:hAnsi="Arial" w:cs="Arial"/>
          <w:sz w:val="22"/>
          <w:szCs w:val="22"/>
        </w:rPr>
        <w:t>.</w:t>
      </w:r>
      <w:r w:rsidR="009F178D" w:rsidRPr="00FF1282">
        <w:rPr>
          <w:rFonts w:ascii="Arial" w:hAnsi="Arial" w:cs="Arial"/>
          <w:sz w:val="22"/>
          <w:szCs w:val="22"/>
        </w:rPr>
        <w:t xml:space="preserve"> </w:t>
      </w:r>
    </w:p>
    <w:p w:rsidR="009F178D" w:rsidRPr="00FF1282" w:rsidRDefault="003F5F02" w:rsidP="009F178D">
      <w:pPr>
        <w:jc w:val="both"/>
        <w:rPr>
          <w:rFonts w:ascii="Arial" w:hAnsi="Arial" w:cs="Arial"/>
          <w:sz w:val="22"/>
          <w:szCs w:val="22"/>
        </w:rPr>
      </w:pPr>
      <w:r w:rsidRPr="00667EF6">
        <w:rPr>
          <w:rFonts w:ascii="Arial" w:hAnsi="Arial" w:cs="Arial"/>
          <w:b/>
          <w:sz w:val="22"/>
          <w:szCs w:val="22"/>
        </w:rPr>
        <w:t>1,98M€</w:t>
      </w:r>
      <w:r w:rsidRPr="00FF1282">
        <w:rPr>
          <w:rFonts w:ascii="Arial" w:hAnsi="Arial" w:cs="Arial"/>
          <w:sz w:val="22"/>
          <w:szCs w:val="22"/>
        </w:rPr>
        <w:t xml:space="preserve"> </w:t>
      </w:r>
      <w:r>
        <w:rPr>
          <w:rFonts w:ascii="Arial" w:hAnsi="Arial" w:cs="Arial"/>
          <w:sz w:val="22"/>
          <w:szCs w:val="22"/>
        </w:rPr>
        <w:t xml:space="preserve">de crédits </w:t>
      </w:r>
      <w:r w:rsidR="009F178D" w:rsidRPr="00FF1282">
        <w:rPr>
          <w:rFonts w:ascii="Arial" w:hAnsi="Arial" w:cs="Arial"/>
          <w:sz w:val="22"/>
          <w:szCs w:val="22"/>
        </w:rPr>
        <w:t>AC</w:t>
      </w:r>
      <w:r>
        <w:rPr>
          <w:rFonts w:ascii="Arial" w:hAnsi="Arial" w:cs="Arial"/>
          <w:sz w:val="22"/>
          <w:szCs w:val="22"/>
        </w:rPr>
        <w:t xml:space="preserve"> sont alloués en non reconductible </w:t>
      </w:r>
      <w:r w:rsidR="009F178D" w:rsidRPr="00FF1282">
        <w:rPr>
          <w:rFonts w:ascii="Arial" w:hAnsi="Arial" w:cs="Arial"/>
          <w:sz w:val="22"/>
          <w:szCs w:val="22"/>
        </w:rPr>
        <w:t xml:space="preserve">au titre des investissements afin de permettre l’acquisition des équipements et la formation initiale des personnels. </w:t>
      </w:r>
    </w:p>
    <w:p w:rsidR="009F178D" w:rsidRDefault="009F178D" w:rsidP="009F178D">
      <w:pPr>
        <w:pStyle w:val="Default"/>
        <w:jc w:val="both"/>
        <w:rPr>
          <w:rFonts w:eastAsia="MS Mincho"/>
          <w:color w:val="auto"/>
          <w:sz w:val="22"/>
          <w:szCs w:val="22"/>
          <w:lang w:eastAsia="ja-JP"/>
        </w:rPr>
      </w:pPr>
    </w:p>
    <w:p w:rsidR="009F178D" w:rsidRDefault="009F178D" w:rsidP="009F178D">
      <w:pPr>
        <w:pStyle w:val="Default"/>
        <w:jc w:val="both"/>
        <w:rPr>
          <w:rFonts w:eastAsia="MS Mincho"/>
          <w:color w:val="auto"/>
          <w:sz w:val="22"/>
          <w:szCs w:val="22"/>
          <w:lang w:eastAsia="ja-JP"/>
        </w:rPr>
      </w:pPr>
    </w:p>
    <w:p w:rsidR="009F178D" w:rsidRPr="00735B57" w:rsidRDefault="009F178D" w:rsidP="009F178D">
      <w:pPr>
        <w:autoSpaceDE w:val="0"/>
        <w:autoSpaceDN w:val="0"/>
        <w:adjustRightInd w:val="0"/>
        <w:jc w:val="both"/>
        <w:rPr>
          <w:rFonts w:ascii="Arial" w:hAnsi="Arial" w:cs="Arial"/>
          <w:sz w:val="22"/>
          <w:szCs w:val="22"/>
        </w:rPr>
      </w:pPr>
      <w:r w:rsidRPr="00735B57">
        <w:rPr>
          <w:rFonts w:ascii="Arial" w:hAnsi="Arial" w:cs="Arial"/>
          <w:b/>
          <w:sz w:val="22"/>
          <w:szCs w:val="22"/>
        </w:rPr>
        <w:t xml:space="preserve">La MIG </w:t>
      </w:r>
      <w:r>
        <w:rPr>
          <w:rFonts w:ascii="Arial" w:hAnsi="Arial" w:cs="Arial"/>
          <w:b/>
          <w:sz w:val="22"/>
          <w:szCs w:val="22"/>
        </w:rPr>
        <w:t>« C</w:t>
      </w:r>
      <w:r w:rsidRPr="00566D81">
        <w:rPr>
          <w:rFonts w:ascii="Arial" w:hAnsi="Arial" w:cs="Arial"/>
          <w:b/>
          <w:sz w:val="22"/>
          <w:szCs w:val="22"/>
        </w:rPr>
        <w:t>ellules d’urgence médico-psychologique</w:t>
      </w:r>
      <w:r>
        <w:rPr>
          <w:rFonts w:ascii="Arial" w:hAnsi="Arial" w:cs="Arial"/>
          <w:b/>
          <w:sz w:val="22"/>
          <w:szCs w:val="22"/>
        </w:rPr>
        <w:t> »</w:t>
      </w:r>
      <w:r w:rsidRPr="00735B57">
        <w:rPr>
          <w:rFonts w:ascii="Arial" w:hAnsi="Arial" w:cs="Arial"/>
          <w:b/>
          <w:sz w:val="22"/>
          <w:szCs w:val="22"/>
        </w:rPr>
        <w:t xml:space="preserve"> CUMP</w:t>
      </w:r>
    </w:p>
    <w:p w:rsidR="009F178D" w:rsidRPr="00735B57" w:rsidRDefault="009F178D" w:rsidP="009F178D">
      <w:pPr>
        <w:autoSpaceDE w:val="0"/>
        <w:autoSpaceDN w:val="0"/>
        <w:adjustRightInd w:val="0"/>
        <w:jc w:val="both"/>
        <w:rPr>
          <w:rFonts w:ascii="Arial" w:hAnsi="Arial" w:cs="Arial"/>
          <w:sz w:val="22"/>
          <w:szCs w:val="22"/>
        </w:rPr>
      </w:pPr>
    </w:p>
    <w:p w:rsidR="009F178D" w:rsidRPr="00735B57" w:rsidRDefault="009F178D" w:rsidP="009F178D">
      <w:pPr>
        <w:autoSpaceDE w:val="0"/>
        <w:autoSpaceDN w:val="0"/>
        <w:adjustRightInd w:val="0"/>
        <w:jc w:val="both"/>
        <w:rPr>
          <w:rFonts w:ascii="Arial" w:hAnsi="Arial" w:cs="Arial"/>
          <w:sz w:val="22"/>
          <w:szCs w:val="22"/>
        </w:rPr>
      </w:pPr>
      <w:r w:rsidRPr="00735B57">
        <w:rPr>
          <w:rFonts w:ascii="Arial" w:hAnsi="Arial" w:cs="Arial"/>
          <w:sz w:val="22"/>
          <w:szCs w:val="22"/>
        </w:rPr>
        <w:t>Le dispositif de l’urgence médico-psychologique des victimes de catastrophes ou d'accidents a fait l’objet d’une évolution récente de son cadre réglementaire. Ce dispositif est maintenant organisé et coordonné par l’Agence régionale de santé (ARS) et vise à disposer sur l’ensemble du territoire d’un réseau de volontaires formés et prêts à intervenir dans les situations relevant de l’urgence médico-psychologique. Certaines de ces cellules d’urgence médico-psychologique (CUMP), dites renforcées ou régionales, sont dotées de personnels dédiés pour tout ou partie de leur activité.</w:t>
      </w:r>
    </w:p>
    <w:p w:rsidR="009F178D" w:rsidRPr="00735B57" w:rsidRDefault="009F178D" w:rsidP="009F178D">
      <w:pPr>
        <w:autoSpaceDE w:val="0"/>
        <w:autoSpaceDN w:val="0"/>
        <w:adjustRightInd w:val="0"/>
        <w:jc w:val="both"/>
        <w:rPr>
          <w:rFonts w:ascii="Arial" w:hAnsi="Arial" w:cs="Arial"/>
          <w:sz w:val="22"/>
          <w:szCs w:val="22"/>
        </w:rPr>
      </w:pPr>
    </w:p>
    <w:p w:rsidR="009F178D" w:rsidRPr="00735B57" w:rsidRDefault="009F178D" w:rsidP="009F178D">
      <w:pPr>
        <w:jc w:val="both"/>
        <w:rPr>
          <w:rFonts w:ascii="Arial" w:hAnsi="Arial" w:cs="Arial"/>
          <w:sz w:val="22"/>
          <w:szCs w:val="22"/>
        </w:rPr>
      </w:pPr>
      <w:r w:rsidRPr="00735B57">
        <w:rPr>
          <w:rFonts w:ascii="Arial" w:hAnsi="Arial" w:cs="Arial"/>
          <w:sz w:val="22"/>
          <w:szCs w:val="22"/>
        </w:rPr>
        <w:t>Afin de permettre une meilleure organisation et un meilleur suivi de ces missions pérennes, leur dispositif de financement évolue cette année. Jusqu’alors assuré par les dotations annuelles de fonctionnement, ce financement</w:t>
      </w:r>
      <w:r w:rsidR="00106CF0">
        <w:rPr>
          <w:rFonts w:ascii="Arial" w:hAnsi="Arial" w:cs="Arial"/>
          <w:sz w:val="22"/>
          <w:szCs w:val="22"/>
        </w:rPr>
        <w:t>,</w:t>
      </w:r>
      <w:r w:rsidRPr="00735B57">
        <w:rPr>
          <w:rFonts w:ascii="Arial" w:hAnsi="Arial" w:cs="Arial"/>
          <w:sz w:val="22"/>
          <w:szCs w:val="22"/>
        </w:rPr>
        <w:t xml:space="preserve"> </w:t>
      </w:r>
      <w:r w:rsidR="00106CF0">
        <w:rPr>
          <w:rFonts w:ascii="Arial" w:hAnsi="Arial" w:cs="Arial"/>
          <w:sz w:val="22"/>
          <w:szCs w:val="22"/>
        </w:rPr>
        <w:t xml:space="preserve">d’un montant de </w:t>
      </w:r>
      <w:r w:rsidR="00106CF0" w:rsidRPr="00106CF0">
        <w:rPr>
          <w:rFonts w:ascii="Arial" w:hAnsi="Arial" w:cs="Arial"/>
          <w:b/>
          <w:sz w:val="22"/>
          <w:szCs w:val="22"/>
        </w:rPr>
        <w:t>4,18M€</w:t>
      </w:r>
      <w:r w:rsidR="00ED14CC">
        <w:rPr>
          <w:rFonts w:ascii="Arial" w:hAnsi="Arial" w:cs="Arial"/>
          <w:b/>
          <w:sz w:val="22"/>
          <w:szCs w:val="22"/>
        </w:rPr>
        <w:t xml:space="preserve"> </w:t>
      </w:r>
      <w:r w:rsidR="00ED14CC" w:rsidRPr="00ED14CC">
        <w:rPr>
          <w:rFonts w:ascii="Arial" w:hAnsi="Arial" w:cs="Arial"/>
          <w:sz w:val="22"/>
          <w:szCs w:val="22"/>
        </w:rPr>
        <w:t>alloué en JPE</w:t>
      </w:r>
      <w:r w:rsidR="00106CF0">
        <w:rPr>
          <w:rFonts w:ascii="Arial" w:hAnsi="Arial" w:cs="Arial"/>
          <w:sz w:val="22"/>
          <w:szCs w:val="22"/>
        </w:rPr>
        <w:t xml:space="preserve">, </w:t>
      </w:r>
      <w:r w:rsidRPr="00735B57">
        <w:rPr>
          <w:rFonts w:ascii="Arial" w:hAnsi="Arial" w:cs="Arial"/>
          <w:sz w:val="22"/>
          <w:szCs w:val="22"/>
        </w:rPr>
        <w:t>est transféré dans la dotation annuelle de financement des missions d’intérêt général et d’aide à la contractualisation (MIGAC). Cette évolution permettra notamment aux ARS de contractualiser avec les établissements de santé les objectifs et les moyens affectés à ces cellules dotées de personnels permanents.</w:t>
      </w:r>
    </w:p>
    <w:p w:rsidR="009F178D" w:rsidRPr="00735B57" w:rsidRDefault="009F178D" w:rsidP="009F178D">
      <w:pPr>
        <w:jc w:val="both"/>
        <w:rPr>
          <w:rFonts w:ascii="Arial" w:hAnsi="Arial" w:cs="Arial"/>
          <w:sz w:val="22"/>
          <w:szCs w:val="22"/>
        </w:rPr>
      </w:pPr>
    </w:p>
    <w:p w:rsidR="009F178D" w:rsidRDefault="009F178D" w:rsidP="009F178D">
      <w:pPr>
        <w:jc w:val="both"/>
        <w:rPr>
          <w:rFonts w:ascii="Arial" w:hAnsi="Arial" w:cs="Arial"/>
          <w:sz w:val="22"/>
          <w:szCs w:val="22"/>
        </w:rPr>
      </w:pPr>
      <w:r w:rsidRPr="00735B57">
        <w:rPr>
          <w:rFonts w:ascii="Arial" w:hAnsi="Arial" w:cs="Arial"/>
          <w:sz w:val="22"/>
          <w:szCs w:val="22"/>
        </w:rPr>
        <w:t>Les dotations finançant les CUMP permanentes sont calculées de manière forfaitaire, sur la base de la valorisation des personnels dédiés qui les animent et augmentées, le cas échéant, du coefficient géographique. Elles sont déléguées de manière fléchée (établissement par établissement) et impérative.</w:t>
      </w:r>
    </w:p>
    <w:p w:rsidR="000C0BE4" w:rsidRDefault="000C0BE4" w:rsidP="009F178D">
      <w:pPr>
        <w:jc w:val="both"/>
        <w:rPr>
          <w:rFonts w:ascii="Arial" w:hAnsi="Arial" w:cs="Arial"/>
          <w:sz w:val="22"/>
          <w:szCs w:val="22"/>
        </w:rPr>
      </w:pPr>
    </w:p>
    <w:p w:rsidR="000C0BE4" w:rsidRPr="00735B57" w:rsidRDefault="000C0BE4" w:rsidP="009F178D">
      <w:pPr>
        <w:jc w:val="both"/>
        <w:rPr>
          <w:rFonts w:ascii="Arial" w:hAnsi="Arial" w:cs="Arial"/>
          <w:sz w:val="22"/>
          <w:szCs w:val="22"/>
        </w:rPr>
      </w:pPr>
    </w:p>
    <w:p w:rsidR="00C166A3" w:rsidRDefault="00E94EA6" w:rsidP="005227F5">
      <w:pPr>
        <w:pStyle w:val="Default"/>
        <w:numPr>
          <w:ilvl w:val="0"/>
          <w:numId w:val="5"/>
        </w:numPr>
        <w:jc w:val="both"/>
        <w:rPr>
          <w:rFonts w:eastAsia="MS Mincho"/>
          <w:b/>
          <w:color w:val="auto"/>
          <w:sz w:val="22"/>
          <w:szCs w:val="22"/>
          <w:lang w:eastAsia="ja-JP"/>
        </w:rPr>
      </w:pPr>
      <w:r>
        <w:rPr>
          <w:rFonts w:eastAsia="MS Mincho"/>
          <w:b/>
          <w:color w:val="auto"/>
          <w:sz w:val="22"/>
          <w:szCs w:val="22"/>
          <w:lang w:eastAsia="ja-JP"/>
        </w:rPr>
        <w:t xml:space="preserve">MIG nouvellement </w:t>
      </w:r>
      <w:r w:rsidR="00C166A3">
        <w:rPr>
          <w:rFonts w:eastAsia="MS Mincho"/>
          <w:b/>
          <w:color w:val="auto"/>
          <w:sz w:val="22"/>
          <w:szCs w:val="22"/>
          <w:lang w:eastAsia="ja-JP"/>
        </w:rPr>
        <w:t>modélis</w:t>
      </w:r>
      <w:r>
        <w:rPr>
          <w:rFonts w:eastAsia="MS Mincho"/>
          <w:b/>
          <w:color w:val="auto"/>
          <w:sz w:val="22"/>
          <w:szCs w:val="22"/>
          <w:lang w:eastAsia="ja-JP"/>
        </w:rPr>
        <w:t>ées en 2014</w:t>
      </w:r>
    </w:p>
    <w:p w:rsidR="00C166A3" w:rsidRDefault="00C166A3" w:rsidP="00C166A3">
      <w:pPr>
        <w:pStyle w:val="Default"/>
        <w:jc w:val="both"/>
        <w:rPr>
          <w:rFonts w:eastAsia="MS Mincho"/>
          <w:b/>
          <w:color w:val="auto"/>
          <w:sz w:val="22"/>
          <w:szCs w:val="22"/>
          <w:lang w:eastAsia="ja-JP"/>
        </w:rPr>
      </w:pPr>
    </w:p>
    <w:p w:rsidR="00A43870" w:rsidRPr="00A43870" w:rsidRDefault="00A43870" w:rsidP="00A43870">
      <w:pPr>
        <w:autoSpaceDE w:val="0"/>
        <w:autoSpaceDN w:val="0"/>
        <w:adjustRightInd w:val="0"/>
        <w:jc w:val="both"/>
        <w:rPr>
          <w:rFonts w:ascii="Arial" w:hAnsi="Arial" w:cs="Arial"/>
          <w:b/>
          <w:sz w:val="22"/>
          <w:szCs w:val="22"/>
        </w:rPr>
      </w:pPr>
      <w:r w:rsidRPr="00A43870">
        <w:rPr>
          <w:rFonts w:ascii="Arial" w:hAnsi="Arial" w:cs="Arial"/>
          <w:b/>
          <w:sz w:val="22"/>
          <w:szCs w:val="22"/>
        </w:rPr>
        <w:t>La MIG « SAMU »</w:t>
      </w:r>
    </w:p>
    <w:p w:rsidR="00A43870" w:rsidRDefault="00A43870" w:rsidP="00A43870">
      <w:pPr>
        <w:pStyle w:val="Textebrut"/>
        <w:jc w:val="both"/>
        <w:rPr>
          <w:rFonts w:ascii="Arial" w:hAnsi="Arial" w:cs="Arial"/>
          <w:sz w:val="22"/>
          <w:szCs w:val="22"/>
        </w:rPr>
      </w:pPr>
    </w:p>
    <w:p w:rsidR="00A43870" w:rsidRDefault="00A43870" w:rsidP="00A43870">
      <w:pPr>
        <w:jc w:val="both"/>
        <w:rPr>
          <w:rFonts w:ascii="Arial" w:hAnsi="Arial" w:cs="Arial"/>
          <w:sz w:val="22"/>
          <w:szCs w:val="22"/>
        </w:rPr>
      </w:pPr>
      <w:r w:rsidRPr="00A43870">
        <w:rPr>
          <w:rFonts w:ascii="Arial" w:hAnsi="Arial" w:cs="Arial"/>
          <w:sz w:val="22"/>
          <w:szCs w:val="22"/>
        </w:rPr>
        <w:t>Jusqu'à présent le financement des SAMU prenait largement acte de l'organisation ainsi que des coûts historiques déclarés par les établissements de santé en 2003 dans le cadre du calibrage de la MIG. L'objectif de la nouvelle modélisation est de définir des modalités d'allocation transparentes et équitables au niveau des établissements et des ARS, incitant à la mise en place d'organisations performantes et une prise en charge de qualité. Pour cela la modélisation de la MIG SAMU est basée sur un référentiel de moyens, c'est-à-dire une estimation des moyens nécessaires à la réalisation de la mission de régulation médicale en fonction du niveau d'activité des Centres de Réception et de Régulation des Appels (CRRA). Ce référentiel de moyens est pour l’essentiel basé sur la moyenne des effectifs de régulation effectivement présents dans les CRRA en fonction de leur niveau d’activité. Ces effectifs sont ensuite valorisés, ainsi que les montants nécessaires pour couvrir les coûts d’exploitation et de  fonctionnement du CRRA.</w:t>
      </w:r>
    </w:p>
    <w:p w:rsidR="00A43870" w:rsidRPr="00A43870" w:rsidRDefault="00A43870" w:rsidP="00A43870">
      <w:pPr>
        <w:jc w:val="both"/>
        <w:rPr>
          <w:rFonts w:ascii="Arial" w:hAnsi="Arial" w:cs="Arial"/>
          <w:sz w:val="22"/>
          <w:szCs w:val="22"/>
        </w:rPr>
      </w:pPr>
    </w:p>
    <w:p w:rsidR="00A43870" w:rsidRPr="00A43870" w:rsidRDefault="00A43870" w:rsidP="00A43870">
      <w:pPr>
        <w:jc w:val="both"/>
        <w:rPr>
          <w:rFonts w:ascii="Arial" w:hAnsi="Arial" w:cs="Arial"/>
          <w:sz w:val="22"/>
          <w:szCs w:val="22"/>
        </w:rPr>
      </w:pPr>
      <w:r w:rsidRPr="00A43870">
        <w:rPr>
          <w:rFonts w:ascii="Arial" w:hAnsi="Arial" w:cs="Arial"/>
          <w:sz w:val="22"/>
          <w:szCs w:val="22"/>
        </w:rPr>
        <w:t>La régulation du financement des SAMU par la MIG s’appuie sur trois niveaux différents :</w:t>
      </w:r>
    </w:p>
    <w:p w:rsidR="00A43870" w:rsidRPr="00A43870" w:rsidRDefault="00A43870" w:rsidP="00A43870">
      <w:pPr>
        <w:pStyle w:val="Paragraphedeliste"/>
        <w:numPr>
          <w:ilvl w:val="0"/>
          <w:numId w:val="9"/>
        </w:numPr>
        <w:jc w:val="both"/>
        <w:rPr>
          <w:rFonts w:ascii="Arial" w:hAnsi="Arial" w:cs="Arial"/>
        </w:rPr>
      </w:pPr>
      <w:r w:rsidRPr="00A43870">
        <w:rPr>
          <w:rFonts w:ascii="Arial" w:hAnsi="Arial" w:cs="Arial"/>
        </w:rPr>
        <w:t>au niveau national la modélisation est basée sur les moyennes observées et sert de base à la péréquation entre les régions. La modélisation s’applique alors aux enveloppes MIG régionales en JPE, sans fléchage par établissement.</w:t>
      </w:r>
    </w:p>
    <w:p w:rsidR="00A43870" w:rsidRPr="00A43870" w:rsidRDefault="00A43870" w:rsidP="00A43870">
      <w:pPr>
        <w:pStyle w:val="Paragraphedeliste"/>
        <w:numPr>
          <w:ilvl w:val="0"/>
          <w:numId w:val="9"/>
        </w:numPr>
        <w:jc w:val="both"/>
        <w:rPr>
          <w:rFonts w:ascii="Arial" w:hAnsi="Arial" w:cs="Arial"/>
        </w:rPr>
      </w:pPr>
      <w:r w:rsidRPr="00A43870">
        <w:rPr>
          <w:rFonts w:ascii="Arial" w:hAnsi="Arial" w:cs="Arial"/>
        </w:rPr>
        <w:t>au niveau régional, il est nécessaire que l’ARS analyse les enjeux d’efficience liés à une éventuelle réorganisation territoriale de la régulation médicale, et utilise le levier du financement pour mobiliser l‘ensemble des acteurs locaux.</w:t>
      </w:r>
    </w:p>
    <w:p w:rsidR="00A43870" w:rsidRPr="00A43870" w:rsidRDefault="00A43870" w:rsidP="00A43870">
      <w:pPr>
        <w:pStyle w:val="Paragraphedeliste"/>
        <w:numPr>
          <w:ilvl w:val="0"/>
          <w:numId w:val="9"/>
        </w:numPr>
        <w:jc w:val="both"/>
        <w:rPr>
          <w:rFonts w:ascii="Arial" w:hAnsi="Arial" w:cs="Arial"/>
        </w:rPr>
      </w:pPr>
      <w:r w:rsidRPr="00A43870">
        <w:rPr>
          <w:rFonts w:ascii="Arial" w:hAnsi="Arial" w:cs="Arial"/>
        </w:rPr>
        <w:t xml:space="preserve">au niveau le plus fin, l’allocation aux établissements, l’ARS doit déterminer son allocation en confrontant les résultats de la modélisation et les indicateurs opérationnels permettant de diagnostiquer l’adéquation entre charge de travail et ressources humaines au sein du CRRA, en s’appuyant notamment sur les recommandations de la HAS et de l’ANAP. </w:t>
      </w:r>
    </w:p>
    <w:p w:rsidR="00A43870" w:rsidRPr="00A43870" w:rsidRDefault="00A43870" w:rsidP="00A43870">
      <w:pPr>
        <w:jc w:val="both"/>
        <w:rPr>
          <w:rFonts w:ascii="Arial" w:hAnsi="Arial" w:cs="Arial"/>
          <w:sz w:val="22"/>
          <w:szCs w:val="22"/>
        </w:rPr>
      </w:pPr>
    </w:p>
    <w:p w:rsidR="00A43870" w:rsidRPr="00A43870" w:rsidRDefault="00A43870" w:rsidP="00A43870">
      <w:pPr>
        <w:jc w:val="both"/>
        <w:rPr>
          <w:rFonts w:ascii="Arial" w:hAnsi="Arial" w:cs="Arial"/>
          <w:sz w:val="22"/>
          <w:szCs w:val="22"/>
        </w:rPr>
      </w:pPr>
      <w:r w:rsidRPr="00A43870">
        <w:rPr>
          <w:rFonts w:ascii="Arial" w:hAnsi="Arial" w:cs="Arial"/>
          <w:sz w:val="22"/>
          <w:szCs w:val="22"/>
        </w:rPr>
        <w:t xml:space="preserve">La modélisation de la MIG SAMU mise en œuvre en 2014 fait l’objet d’une délégation régionale directe et indicative, sans fléchage par établissement pour un montant de </w:t>
      </w:r>
      <w:r w:rsidRPr="00E35C12">
        <w:rPr>
          <w:rFonts w:ascii="Arial" w:hAnsi="Arial" w:cs="Arial"/>
          <w:b/>
          <w:sz w:val="22"/>
          <w:szCs w:val="22"/>
        </w:rPr>
        <w:t>227,73M€</w:t>
      </w:r>
      <w:r w:rsidRPr="00A43870">
        <w:rPr>
          <w:rFonts w:ascii="Arial" w:hAnsi="Arial" w:cs="Arial"/>
          <w:sz w:val="22"/>
          <w:szCs w:val="22"/>
        </w:rPr>
        <w:t xml:space="preserve"> de crédits MIG JPE. Les effets revenus des ARS, correspondant à l’écart entre les montants de la MIG SAMU alloués par les ARS en 2013 et les montants modélisés pour cette même année, seront lissés progressivement  sur trois ans. Ainsi  un cinquième des effets revenus est appliqué en 2014 (l’effet revenus correspondant à l’écart entre les montants de la MIG SAMU alloués par l’ARS en 2013 et le montant modélisé pour cette même année). </w:t>
      </w:r>
    </w:p>
    <w:p w:rsidR="00A43870" w:rsidRPr="00A43870" w:rsidRDefault="00A43870" w:rsidP="00A43870">
      <w:pPr>
        <w:jc w:val="both"/>
        <w:rPr>
          <w:rFonts w:ascii="Arial" w:hAnsi="Arial" w:cs="Arial"/>
          <w:sz w:val="22"/>
          <w:szCs w:val="22"/>
        </w:rPr>
      </w:pPr>
    </w:p>
    <w:p w:rsidR="00A43870" w:rsidRPr="00A43870" w:rsidRDefault="00A43870" w:rsidP="00A43870">
      <w:pPr>
        <w:jc w:val="both"/>
        <w:rPr>
          <w:rFonts w:ascii="Arial" w:hAnsi="Arial" w:cs="Arial"/>
          <w:sz w:val="22"/>
          <w:szCs w:val="22"/>
        </w:rPr>
      </w:pPr>
      <w:r w:rsidRPr="00A43870">
        <w:rPr>
          <w:rFonts w:ascii="Arial" w:hAnsi="Arial" w:cs="Arial"/>
          <w:sz w:val="22"/>
          <w:szCs w:val="22"/>
        </w:rPr>
        <w:t xml:space="preserve">Les ARS disposeront d’un outil Excel donnant le détail de la modélisation pour chaque CRRA et permettant d’en modifier les paramètres pour déterminer les montants alloués aux établissements. Cet outil sera diffusé prochainement. Les paramètres de la modélisation seront présentés dans le guide de contractualisation des dotations finançant les missions d’intérêt général (MIG). </w:t>
      </w:r>
    </w:p>
    <w:p w:rsidR="00E94EA6" w:rsidRDefault="00E94EA6" w:rsidP="00CA6147">
      <w:pPr>
        <w:pStyle w:val="Default"/>
        <w:jc w:val="both"/>
        <w:rPr>
          <w:rFonts w:eastAsia="MS Mincho"/>
          <w:color w:val="auto"/>
          <w:sz w:val="22"/>
          <w:szCs w:val="22"/>
          <w:lang w:eastAsia="ja-JP"/>
        </w:rPr>
      </w:pPr>
    </w:p>
    <w:p w:rsidR="009D09CA" w:rsidRDefault="009D09CA" w:rsidP="00CA6147">
      <w:pPr>
        <w:pStyle w:val="Default"/>
        <w:jc w:val="both"/>
        <w:rPr>
          <w:rFonts w:eastAsia="MS Mincho"/>
          <w:color w:val="auto"/>
          <w:sz w:val="22"/>
          <w:szCs w:val="22"/>
          <w:lang w:eastAsia="ja-JP"/>
        </w:rPr>
      </w:pPr>
    </w:p>
    <w:p w:rsidR="00A43870" w:rsidRDefault="00A43870" w:rsidP="00CA6147">
      <w:pPr>
        <w:pStyle w:val="Default"/>
        <w:jc w:val="both"/>
        <w:rPr>
          <w:rFonts w:eastAsia="MS Mincho"/>
          <w:color w:val="auto"/>
          <w:sz w:val="22"/>
          <w:szCs w:val="22"/>
          <w:lang w:eastAsia="ja-JP"/>
        </w:rPr>
      </w:pPr>
    </w:p>
    <w:p w:rsidR="00A43870" w:rsidRDefault="00A43870" w:rsidP="00CA6147">
      <w:pPr>
        <w:pStyle w:val="Default"/>
        <w:jc w:val="both"/>
        <w:rPr>
          <w:rFonts w:eastAsia="MS Mincho"/>
          <w:color w:val="auto"/>
          <w:sz w:val="22"/>
          <w:szCs w:val="22"/>
          <w:lang w:eastAsia="ja-JP"/>
        </w:rPr>
      </w:pPr>
    </w:p>
    <w:p w:rsidR="00A43870" w:rsidRPr="00CA6147" w:rsidRDefault="00A43870" w:rsidP="00CA6147">
      <w:pPr>
        <w:pStyle w:val="Default"/>
        <w:jc w:val="both"/>
        <w:rPr>
          <w:rFonts w:eastAsia="MS Mincho"/>
          <w:color w:val="auto"/>
          <w:sz w:val="22"/>
          <w:szCs w:val="22"/>
          <w:lang w:eastAsia="ja-JP"/>
        </w:rPr>
      </w:pPr>
    </w:p>
    <w:p w:rsidR="00E94EA6" w:rsidRPr="00735B57" w:rsidRDefault="00E94EA6" w:rsidP="00E94EA6">
      <w:pPr>
        <w:rPr>
          <w:rFonts w:ascii="Arial" w:hAnsi="Arial" w:cs="Arial"/>
          <w:b/>
          <w:sz w:val="22"/>
          <w:szCs w:val="22"/>
        </w:rPr>
      </w:pPr>
      <w:r>
        <w:rPr>
          <w:rFonts w:ascii="Arial" w:hAnsi="Arial" w:cs="Arial"/>
          <w:b/>
          <w:sz w:val="22"/>
          <w:szCs w:val="22"/>
        </w:rPr>
        <w:t xml:space="preserve">La </w:t>
      </w:r>
      <w:r w:rsidRPr="00735B57">
        <w:rPr>
          <w:rFonts w:ascii="Arial" w:hAnsi="Arial" w:cs="Arial"/>
          <w:b/>
          <w:sz w:val="22"/>
          <w:szCs w:val="22"/>
        </w:rPr>
        <w:t xml:space="preserve">MIG </w:t>
      </w:r>
      <w:r>
        <w:rPr>
          <w:rFonts w:ascii="Arial" w:hAnsi="Arial" w:cs="Arial"/>
          <w:b/>
          <w:sz w:val="22"/>
          <w:szCs w:val="22"/>
        </w:rPr>
        <w:t>« </w:t>
      </w:r>
      <w:r w:rsidRPr="00735B57">
        <w:rPr>
          <w:rFonts w:ascii="Arial" w:hAnsi="Arial" w:cs="Arial"/>
          <w:b/>
          <w:sz w:val="22"/>
          <w:szCs w:val="22"/>
        </w:rPr>
        <w:t>Lactarium</w:t>
      </w:r>
      <w:r>
        <w:rPr>
          <w:rFonts w:ascii="Arial" w:hAnsi="Arial" w:cs="Arial"/>
          <w:b/>
          <w:sz w:val="22"/>
          <w:szCs w:val="22"/>
        </w:rPr>
        <w:t> »</w:t>
      </w:r>
    </w:p>
    <w:p w:rsidR="00E94EA6" w:rsidRPr="00735B57" w:rsidRDefault="00E94EA6" w:rsidP="00E94EA6">
      <w:pPr>
        <w:jc w:val="both"/>
        <w:rPr>
          <w:rFonts w:ascii="Arial" w:hAnsi="Arial" w:cs="Arial"/>
          <w:sz w:val="22"/>
          <w:szCs w:val="22"/>
        </w:rPr>
      </w:pPr>
    </w:p>
    <w:p w:rsidR="00E94EA6" w:rsidRPr="00735B57" w:rsidRDefault="00E94EA6" w:rsidP="00E94EA6">
      <w:pPr>
        <w:jc w:val="both"/>
        <w:rPr>
          <w:rFonts w:ascii="Arial" w:hAnsi="Arial" w:cs="Arial"/>
          <w:sz w:val="22"/>
          <w:szCs w:val="22"/>
        </w:rPr>
      </w:pPr>
      <w:r w:rsidRPr="00735B57">
        <w:rPr>
          <w:rFonts w:ascii="Arial" w:hAnsi="Arial" w:cs="Arial"/>
          <w:sz w:val="22"/>
          <w:szCs w:val="22"/>
        </w:rPr>
        <w:t>Des travaux menés avec l’Association des lactariums de France, ainsi que des représentants d’ARS et d’établissements de santé ont permis d’aboutir à une nouvelle m</w:t>
      </w:r>
      <w:r w:rsidR="00C31ED1">
        <w:rPr>
          <w:rFonts w:ascii="Arial" w:hAnsi="Arial" w:cs="Arial"/>
          <w:sz w:val="22"/>
          <w:szCs w:val="22"/>
        </w:rPr>
        <w:t>odélisation de la MIG lactarium</w:t>
      </w:r>
      <w:r w:rsidRPr="00735B57">
        <w:rPr>
          <w:rFonts w:ascii="Arial" w:hAnsi="Arial" w:cs="Arial"/>
          <w:sz w:val="22"/>
          <w:szCs w:val="22"/>
        </w:rPr>
        <w:t>. Les lactariums ont été répartis en 7 catégories, en fonction des surcoûts constatés, variables selon le type d’activité (lactarium à usage intérieur seul ou lactarium à usage intérieur et extérieur) et le niveau de production (source de données 2012 Association Des Lactariums de France) :</w:t>
      </w:r>
    </w:p>
    <w:p w:rsidR="00E94EA6" w:rsidRPr="00735B57" w:rsidRDefault="00E94EA6" w:rsidP="00E94EA6">
      <w:pPr>
        <w:jc w:val="both"/>
        <w:rPr>
          <w:rFonts w:ascii="Arial" w:hAnsi="Arial" w:cs="Arial"/>
          <w:sz w:val="22"/>
          <w:szCs w:val="22"/>
        </w:rPr>
      </w:pPr>
    </w:p>
    <w:tbl>
      <w:tblPr>
        <w:tblW w:w="5733" w:type="dxa"/>
        <w:tblInd w:w="1142" w:type="dxa"/>
        <w:tblCellMar>
          <w:left w:w="70" w:type="dxa"/>
          <w:right w:w="70" w:type="dxa"/>
        </w:tblCellMar>
        <w:tblLook w:val="04A0"/>
      </w:tblPr>
      <w:tblGrid>
        <w:gridCol w:w="830"/>
        <w:gridCol w:w="3054"/>
        <w:gridCol w:w="1849"/>
      </w:tblGrid>
      <w:tr w:rsidR="00E94EA6" w:rsidRPr="00735B57">
        <w:trPr>
          <w:trHeight w:val="307"/>
        </w:trPr>
        <w:tc>
          <w:tcPr>
            <w:tcW w:w="830" w:type="dxa"/>
            <w:tcBorders>
              <w:top w:val="single" w:sz="8" w:space="0" w:color="auto"/>
              <w:left w:val="single" w:sz="8" w:space="0" w:color="auto"/>
              <w:bottom w:val="nil"/>
              <w:right w:val="single" w:sz="8" w:space="0" w:color="auto"/>
            </w:tcBorders>
            <w:shd w:val="clear" w:color="auto" w:fill="auto"/>
            <w:noWrap/>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 </w:t>
            </w:r>
          </w:p>
        </w:tc>
        <w:tc>
          <w:tcPr>
            <w:tcW w:w="3054" w:type="dxa"/>
            <w:tcBorders>
              <w:top w:val="single" w:sz="8" w:space="0" w:color="auto"/>
              <w:left w:val="nil"/>
              <w:bottom w:val="single" w:sz="4" w:space="0" w:color="auto"/>
              <w:right w:val="single" w:sz="8" w:space="0" w:color="auto"/>
            </w:tcBorders>
            <w:shd w:val="clear" w:color="000000" w:fill="B6DDE8"/>
            <w:vAlign w:val="bottom"/>
          </w:tcPr>
          <w:p w:rsidR="00E94EA6" w:rsidRPr="00735B57" w:rsidRDefault="00E94EA6" w:rsidP="002A515B">
            <w:pPr>
              <w:jc w:val="both"/>
              <w:rPr>
                <w:rFonts w:ascii="Arial" w:hAnsi="Arial" w:cs="Arial"/>
                <w:b/>
                <w:bCs/>
                <w:color w:val="000000"/>
              </w:rPr>
            </w:pPr>
            <w:r w:rsidRPr="00735B57">
              <w:rPr>
                <w:rFonts w:ascii="Arial" w:hAnsi="Arial" w:cs="Arial"/>
                <w:b/>
                <w:bCs/>
                <w:color w:val="000000"/>
                <w:sz w:val="22"/>
                <w:szCs w:val="22"/>
              </w:rPr>
              <w:t>Production du lactarium</w:t>
            </w:r>
          </w:p>
        </w:tc>
        <w:tc>
          <w:tcPr>
            <w:tcW w:w="1849" w:type="dxa"/>
            <w:tcBorders>
              <w:top w:val="single" w:sz="8" w:space="0" w:color="auto"/>
              <w:left w:val="nil"/>
              <w:bottom w:val="single" w:sz="4" w:space="0" w:color="auto"/>
              <w:right w:val="nil"/>
            </w:tcBorders>
            <w:shd w:val="clear" w:color="000000" w:fill="DBEEF3"/>
            <w:vAlign w:val="bottom"/>
          </w:tcPr>
          <w:p w:rsidR="00E94EA6" w:rsidRPr="00735B57" w:rsidRDefault="00E94EA6" w:rsidP="002A515B">
            <w:pPr>
              <w:jc w:val="both"/>
              <w:rPr>
                <w:rFonts w:ascii="Arial" w:hAnsi="Arial" w:cs="Arial"/>
                <w:b/>
                <w:bCs/>
                <w:color w:val="000000"/>
              </w:rPr>
            </w:pPr>
            <w:r w:rsidRPr="00735B57">
              <w:rPr>
                <w:rFonts w:ascii="Arial" w:hAnsi="Arial" w:cs="Arial"/>
                <w:b/>
                <w:bCs/>
                <w:color w:val="000000"/>
                <w:sz w:val="22"/>
                <w:szCs w:val="22"/>
              </w:rPr>
              <w:t>MIG (en €)</w:t>
            </w:r>
          </w:p>
        </w:tc>
      </w:tr>
      <w:tr w:rsidR="00E94EA6" w:rsidRPr="00735B57">
        <w:trPr>
          <w:trHeight w:val="307"/>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A</w:t>
            </w:r>
          </w:p>
        </w:tc>
        <w:tc>
          <w:tcPr>
            <w:tcW w:w="3054" w:type="dxa"/>
            <w:tcBorders>
              <w:top w:val="nil"/>
              <w:left w:val="nil"/>
              <w:bottom w:val="single" w:sz="4" w:space="0" w:color="auto"/>
              <w:right w:val="single" w:sz="8" w:space="0" w:color="auto"/>
            </w:tcBorders>
            <w:shd w:val="clear" w:color="000000" w:fill="FFFFFF"/>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Plus de 10 000 litres/ an</w:t>
            </w:r>
          </w:p>
        </w:tc>
        <w:tc>
          <w:tcPr>
            <w:tcW w:w="1849" w:type="dxa"/>
            <w:tcBorders>
              <w:top w:val="nil"/>
              <w:left w:val="nil"/>
              <w:bottom w:val="single" w:sz="4" w:space="0" w:color="auto"/>
              <w:right w:val="single" w:sz="8" w:space="0" w:color="auto"/>
            </w:tcBorders>
            <w:shd w:val="clear" w:color="000000" w:fill="DBEEF3"/>
            <w:noWrap/>
            <w:vAlign w:val="bottom"/>
          </w:tcPr>
          <w:p w:rsidR="00E94EA6" w:rsidRPr="00735B57" w:rsidRDefault="00E94EA6" w:rsidP="002A515B">
            <w:pPr>
              <w:jc w:val="both"/>
              <w:rPr>
                <w:rFonts w:ascii="Arial" w:hAnsi="Arial" w:cs="Arial"/>
                <w:bCs/>
                <w:color w:val="000000"/>
              </w:rPr>
            </w:pPr>
            <w:r w:rsidRPr="00735B57">
              <w:rPr>
                <w:rFonts w:ascii="Arial" w:hAnsi="Arial" w:cs="Arial"/>
                <w:bCs/>
                <w:color w:val="000000"/>
                <w:sz w:val="22"/>
                <w:szCs w:val="22"/>
              </w:rPr>
              <w:t>560 000</w:t>
            </w:r>
          </w:p>
        </w:tc>
      </w:tr>
      <w:tr w:rsidR="00E94EA6" w:rsidRPr="00735B57">
        <w:trPr>
          <w:trHeight w:val="307"/>
        </w:trPr>
        <w:tc>
          <w:tcPr>
            <w:tcW w:w="830" w:type="dxa"/>
            <w:tcBorders>
              <w:top w:val="nil"/>
              <w:left w:val="single" w:sz="4" w:space="0" w:color="auto"/>
              <w:bottom w:val="single" w:sz="4" w:space="0" w:color="auto"/>
              <w:right w:val="single" w:sz="4" w:space="0" w:color="auto"/>
            </w:tcBorders>
            <w:shd w:val="clear" w:color="auto" w:fill="auto"/>
            <w:noWrap/>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B</w:t>
            </w:r>
          </w:p>
        </w:tc>
        <w:tc>
          <w:tcPr>
            <w:tcW w:w="3054" w:type="dxa"/>
            <w:tcBorders>
              <w:top w:val="nil"/>
              <w:left w:val="nil"/>
              <w:bottom w:val="single" w:sz="4" w:space="0" w:color="auto"/>
              <w:right w:val="single" w:sz="8" w:space="0" w:color="auto"/>
            </w:tcBorders>
            <w:shd w:val="clear" w:color="000000" w:fill="FFFFFF"/>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7500 à 10 000 litres/ an</w:t>
            </w:r>
          </w:p>
        </w:tc>
        <w:tc>
          <w:tcPr>
            <w:tcW w:w="1849" w:type="dxa"/>
            <w:tcBorders>
              <w:top w:val="nil"/>
              <w:left w:val="nil"/>
              <w:bottom w:val="single" w:sz="4" w:space="0" w:color="auto"/>
              <w:right w:val="single" w:sz="8" w:space="0" w:color="auto"/>
            </w:tcBorders>
            <w:shd w:val="clear" w:color="000000" w:fill="DBEEF3"/>
            <w:noWrap/>
            <w:vAlign w:val="bottom"/>
          </w:tcPr>
          <w:p w:rsidR="00E94EA6" w:rsidRPr="00735B57" w:rsidRDefault="00E94EA6" w:rsidP="002A515B">
            <w:pPr>
              <w:jc w:val="both"/>
              <w:rPr>
                <w:rFonts w:ascii="Arial" w:hAnsi="Arial" w:cs="Arial"/>
                <w:bCs/>
                <w:color w:val="000000"/>
              </w:rPr>
            </w:pPr>
            <w:r w:rsidRPr="00735B57">
              <w:rPr>
                <w:rFonts w:ascii="Arial" w:hAnsi="Arial" w:cs="Arial"/>
                <w:bCs/>
                <w:color w:val="000000"/>
                <w:sz w:val="22"/>
                <w:szCs w:val="22"/>
              </w:rPr>
              <w:t>490 000</w:t>
            </w:r>
          </w:p>
        </w:tc>
      </w:tr>
      <w:tr w:rsidR="00E94EA6" w:rsidRPr="00735B57">
        <w:trPr>
          <w:trHeight w:val="307"/>
        </w:trPr>
        <w:tc>
          <w:tcPr>
            <w:tcW w:w="830" w:type="dxa"/>
            <w:tcBorders>
              <w:top w:val="nil"/>
              <w:left w:val="single" w:sz="4" w:space="0" w:color="auto"/>
              <w:bottom w:val="single" w:sz="4" w:space="0" w:color="auto"/>
              <w:right w:val="single" w:sz="4" w:space="0" w:color="auto"/>
            </w:tcBorders>
            <w:shd w:val="clear" w:color="auto" w:fill="auto"/>
            <w:noWrap/>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C</w:t>
            </w:r>
          </w:p>
        </w:tc>
        <w:tc>
          <w:tcPr>
            <w:tcW w:w="3054" w:type="dxa"/>
            <w:tcBorders>
              <w:top w:val="nil"/>
              <w:left w:val="nil"/>
              <w:bottom w:val="single" w:sz="4" w:space="0" w:color="auto"/>
              <w:right w:val="single" w:sz="8" w:space="0" w:color="auto"/>
            </w:tcBorders>
            <w:shd w:val="clear" w:color="auto" w:fill="auto"/>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5000 à 7500 litres/an</w:t>
            </w:r>
          </w:p>
        </w:tc>
        <w:tc>
          <w:tcPr>
            <w:tcW w:w="1849" w:type="dxa"/>
            <w:tcBorders>
              <w:top w:val="nil"/>
              <w:left w:val="nil"/>
              <w:bottom w:val="single" w:sz="4" w:space="0" w:color="auto"/>
              <w:right w:val="nil"/>
            </w:tcBorders>
            <w:shd w:val="clear" w:color="000000" w:fill="DBEEF3"/>
            <w:noWrap/>
            <w:vAlign w:val="bottom"/>
          </w:tcPr>
          <w:p w:rsidR="00E94EA6" w:rsidRPr="00735B57" w:rsidRDefault="00E94EA6" w:rsidP="002A515B">
            <w:pPr>
              <w:jc w:val="both"/>
              <w:rPr>
                <w:rFonts w:ascii="Arial" w:hAnsi="Arial" w:cs="Arial"/>
                <w:bCs/>
                <w:color w:val="000000"/>
              </w:rPr>
            </w:pPr>
            <w:r w:rsidRPr="00735B57">
              <w:rPr>
                <w:rFonts w:ascii="Arial" w:hAnsi="Arial" w:cs="Arial"/>
                <w:bCs/>
                <w:color w:val="000000"/>
                <w:sz w:val="22"/>
                <w:szCs w:val="22"/>
              </w:rPr>
              <w:t>425 000</w:t>
            </w:r>
          </w:p>
        </w:tc>
      </w:tr>
      <w:tr w:rsidR="00E94EA6" w:rsidRPr="00735B57">
        <w:trPr>
          <w:trHeight w:val="307"/>
        </w:trPr>
        <w:tc>
          <w:tcPr>
            <w:tcW w:w="830" w:type="dxa"/>
            <w:tcBorders>
              <w:top w:val="nil"/>
              <w:left w:val="single" w:sz="4" w:space="0" w:color="auto"/>
              <w:bottom w:val="single" w:sz="4" w:space="0" w:color="auto"/>
              <w:right w:val="single" w:sz="4" w:space="0" w:color="auto"/>
            </w:tcBorders>
            <w:shd w:val="clear" w:color="auto" w:fill="auto"/>
            <w:noWrap/>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D</w:t>
            </w:r>
          </w:p>
        </w:tc>
        <w:tc>
          <w:tcPr>
            <w:tcW w:w="3054" w:type="dxa"/>
            <w:tcBorders>
              <w:top w:val="nil"/>
              <w:left w:val="nil"/>
              <w:bottom w:val="single" w:sz="4" w:space="0" w:color="auto"/>
              <w:right w:val="single" w:sz="8" w:space="0" w:color="auto"/>
            </w:tcBorders>
            <w:shd w:val="clear" w:color="auto" w:fill="auto"/>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2500 à 5000 litres/an</w:t>
            </w:r>
          </w:p>
        </w:tc>
        <w:tc>
          <w:tcPr>
            <w:tcW w:w="1849" w:type="dxa"/>
            <w:tcBorders>
              <w:top w:val="nil"/>
              <w:left w:val="nil"/>
              <w:bottom w:val="single" w:sz="4" w:space="0" w:color="auto"/>
              <w:right w:val="nil"/>
            </w:tcBorders>
            <w:shd w:val="clear" w:color="000000" w:fill="DBEEF3"/>
            <w:noWrap/>
            <w:vAlign w:val="bottom"/>
          </w:tcPr>
          <w:p w:rsidR="00E94EA6" w:rsidRPr="00735B57" w:rsidRDefault="00E94EA6" w:rsidP="002A515B">
            <w:pPr>
              <w:jc w:val="both"/>
              <w:rPr>
                <w:rFonts w:ascii="Arial" w:hAnsi="Arial" w:cs="Arial"/>
                <w:bCs/>
                <w:color w:val="000000"/>
              </w:rPr>
            </w:pPr>
            <w:r w:rsidRPr="00735B57">
              <w:rPr>
                <w:rFonts w:ascii="Arial" w:hAnsi="Arial" w:cs="Arial"/>
                <w:bCs/>
                <w:color w:val="000000"/>
                <w:sz w:val="22"/>
                <w:szCs w:val="22"/>
              </w:rPr>
              <w:t>300 000</w:t>
            </w:r>
          </w:p>
        </w:tc>
      </w:tr>
      <w:tr w:rsidR="00E94EA6" w:rsidRPr="00735B57">
        <w:trPr>
          <w:trHeight w:val="307"/>
        </w:trPr>
        <w:tc>
          <w:tcPr>
            <w:tcW w:w="830" w:type="dxa"/>
            <w:tcBorders>
              <w:top w:val="nil"/>
              <w:left w:val="single" w:sz="4" w:space="0" w:color="auto"/>
              <w:bottom w:val="single" w:sz="4" w:space="0" w:color="auto"/>
              <w:right w:val="single" w:sz="4" w:space="0" w:color="auto"/>
            </w:tcBorders>
            <w:shd w:val="clear" w:color="auto" w:fill="auto"/>
            <w:noWrap/>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E</w:t>
            </w:r>
          </w:p>
        </w:tc>
        <w:tc>
          <w:tcPr>
            <w:tcW w:w="3054" w:type="dxa"/>
            <w:tcBorders>
              <w:top w:val="nil"/>
              <w:left w:val="nil"/>
              <w:bottom w:val="single" w:sz="4" w:space="0" w:color="auto"/>
              <w:right w:val="single" w:sz="8" w:space="0" w:color="auto"/>
            </w:tcBorders>
            <w:shd w:val="clear" w:color="auto" w:fill="auto"/>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1000 à 2500 litres/ an</w:t>
            </w:r>
          </w:p>
        </w:tc>
        <w:tc>
          <w:tcPr>
            <w:tcW w:w="1849" w:type="dxa"/>
            <w:tcBorders>
              <w:top w:val="nil"/>
              <w:left w:val="nil"/>
              <w:bottom w:val="nil"/>
              <w:right w:val="nil"/>
            </w:tcBorders>
            <w:shd w:val="clear" w:color="000000" w:fill="DBEEF3"/>
            <w:noWrap/>
            <w:vAlign w:val="bottom"/>
          </w:tcPr>
          <w:p w:rsidR="00E94EA6" w:rsidRPr="00735B57" w:rsidRDefault="00E94EA6" w:rsidP="002A515B">
            <w:pPr>
              <w:jc w:val="both"/>
              <w:rPr>
                <w:rFonts w:ascii="Arial" w:hAnsi="Arial" w:cs="Arial"/>
                <w:bCs/>
                <w:color w:val="000000"/>
              </w:rPr>
            </w:pPr>
            <w:r w:rsidRPr="00735B57">
              <w:rPr>
                <w:rFonts w:ascii="Arial" w:hAnsi="Arial" w:cs="Arial"/>
                <w:bCs/>
                <w:color w:val="000000"/>
                <w:sz w:val="22"/>
                <w:szCs w:val="22"/>
              </w:rPr>
              <w:t>210 000</w:t>
            </w:r>
          </w:p>
        </w:tc>
      </w:tr>
      <w:tr w:rsidR="00E94EA6" w:rsidRPr="00735B57">
        <w:trPr>
          <w:trHeight w:val="307"/>
        </w:trPr>
        <w:tc>
          <w:tcPr>
            <w:tcW w:w="830" w:type="dxa"/>
            <w:tcBorders>
              <w:top w:val="nil"/>
              <w:left w:val="single" w:sz="4" w:space="0" w:color="auto"/>
              <w:bottom w:val="single" w:sz="4" w:space="0" w:color="auto"/>
              <w:right w:val="single" w:sz="4" w:space="0" w:color="auto"/>
            </w:tcBorders>
            <w:shd w:val="clear" w:color="auto" w:fill="auto"/>
            <w:noWrap/>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F</w:t>
            </w:r>
          </w:p>
        </w:tc>
        <w:tc>
          <w:tcPr>
            <w:tcW w:w="3054" w:type="dxa"/>
            <w:tcBorders>
              <w:top w:val="nil"/>
              <w:left w:val="nil"/>
              <w:bottom w:val="single" w:sz="4" w:space="0" w:color="auto"/>
              <w:right w:val="single" w:sz="8" w:space="0" w:color="auto"/>
            </w:tcBorders>
            <w:shd w:val="clear" w:color="auto" w:fill="auto"/>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Moins de 1000 litres / an</w:t>
            </w:r>
          </w:p>
        </w:tc>
        <w:tc>
          <w:tcPr>
            <w:tcW w:w="1849" w:type="dxa"/>
            <w:tcBorders>
              <w:top w:val="single" w:sz="4" w:space="0" w:color="auto"/>
              <w:left w:val="nil"/>
              <w:bottom w:val="single" w:sz="4" w:space="0" w:color="auto"/>
              <w:right w:val="single" w:sz="4" w:space="0" w:color="auto"/>
            </w:tcBorders>
            <w:shd w:val="clear" w:color="000000" w:fill="DBEEF3"/>
            <w:noWrap/>
            <w:vAlign w:val="bottom"/>
          </w:tcPr>
          <w:p w:rsidR="00E94EA6" w:rsidRPr="00735B57" w:rsidRDefault="00E94EA6" w:rsidP="002A515B">
            <w:pPr>
              <w:jc w:val="both"/>
              <w:rPr>
                <w:rFonts w:ascii="Arial" w:hAnsi="Arial" w:cs="Arial"/>
                <w:bCs/>
                <w:color w:val="000000"/>
              </w:rPr>
            </w:pPr>
            <w:r w:rsidRPr="00735B57">
              <w:rPr>
                <w:rFonts w:ascii="Arial" w:hAnsi="Arial" w:cs="Arial"/>
                <w:bCs/>
                <w:color w:val="000000"/>
                <w:sz w:val="22"/>
                <w:szCs w:val="22"/>
              </w:rPr>
              <w:t>180 000</w:t>
            </w:r>
          </w:p>
        </w:tc>
      </w:tr>
      <w:tr w:rsidR="00E94EA6" w:rsidRPr="00735B57">
        <w:trPr>
          <w:trHeight w:val="307"/>
        </w:trPr>
        <w:tc>
          <w:tcPr>
            <w:tcW w:w="830" w:type="dxa"/>
            <w:tcBorders>
              <w:top w:val="nil"/>
              <w:left w:val="single" w:sz="4" w:space="0" w:color="auto"/>
              <w:bottom w:val="single" w:sz="4" w:space="0" w:color="auto"/>
              <w:right w:val="single" w:sz="4" w:space="0" w:color="auto"/>
            </w:tcBorders>
            <w:shd w:val="clear" w:color="auto" w:fill="auto"/>
            <w:noWrap/>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G</w:t>
            </w:r>
          </w:p>
        </w:tc>
        <w:tc>
          <w:tcPr>
            <w:tcW w:w="3054" w:type="dxa"/>
            <w:tcBorders>
              <w:top w:val="single" w:sz="4" w:space="0" w:color="auto"/>
              <w:left w:val="nil"/>
              <w:bottom w:val="single" w:sz="4" w:space="0" w:color="auto"/>
              <w:right w:val="single" w:sz="4" w:space="0" w:color="auto"/>
            </w:tcBorders>
            <w:shd w:val="clear" w:color="auto" w:fill="auto"/>
            <w:vAlign w:val="bottom"/>
          </w:tcPr>
          <w:p w:rsidR="00E94EA6" w:rsidRPr="00735B57" w:rsidRDefault="00E94EA6" w:rsidP="002A515B">
            <w:pPr>
              <w:jc w:val="both"/>
              <w:rPr>
                <w:rFonts w:ascii="Arial" w:hAnsi="Arial" w:cs="Arial"/>
                <w:color w:val="000000"/>
              </w:rPr>
            </w:pPr>
            <w:r w:rsidRPr="00735B57">
              <w:rPr>
                <w:rFonts w:ascii="Arial" w:hAnsi="Arial" w:cs="Arial"/>
                <w:color w:val="000000"/>
                <w:sz w:val="22"/>
                <w:szCs w:val="22"/>
              </w:rPr>
              <w:t>Lactarium à usage intérieur seul</w:t>
            </w:r>
          </w:p>
        </w:tc>
        <w:tc>
          <w:tcPr>
            <w:tcW w:w="1849" w:type="dxa"/>
            <w:tcBorders>
              <w:top w:val="nil"/>
              <w:left w:val="single" w:sz="4" w:space="0" w:color="auto"/>
              <w:bottom w:val="single" w:sz="4" w:space="0" w:color="auto"/>
              <w:right w:val="single" w:sz="4" w:space="0" w:color="auto"/>
            </w:tcBorders>
            <w:shd w:val="clear" w:color="000000" w:fill="DBEEF3"/>
            <w:noWrap/>
            <w:vAlign w:val="bottom"/>
          </w:tcPr>
          <w:p w:rsidR="00E94EA6" w:rsidRPr="00735B57" w:rsidRDefault="00E94EA6" w:rsidP="002A515B">
            <w:pPr>
              <w:jc w:val="both"/>
              <w:rPr>
                <w:rFonts w:ascii="Arial" w:hAnsi="Arial" w:cs="Arial"/>
                <w:bCs/>
                <w:color w:val="000000"/>
              </w:rPr>
            </w:pPr>
            <w:r w:rsidRPr="00735B57">
              <w:rPr>
                <w:rFonts w:ascii="Arial" w:hAnsi="Arial" w:cs="Arial"/>
                <w:bCs/>
                <w:color w:val="000000"/>
                <w:sz w:val="22"/>
                <w:szCs w:val="22"/>
              </w:rPr>
              <w:t>140 000</w:t>
            </w:r>
          </w:p>
        </w:tc>
      </w:tr>
    </w:tbl>
    <w:p w:rsidR="00E94EA6" w:rsidRPr="00735B57" w:rsidRDefault="00E94EA6" w:rsidP="00E94EA6">
      <w:pPr>
        <w:pStyle w:val="Corpsdetexte3"/>
        <w:tabs>
          <w:tab w:val="left" w:pos="0"/>
        </w:tabs>
        <w:jc w:val="both"/>
        <w:rPr>
          <w:rFonts w:ascii="Arial" w:eastAsiaTheme="minorHAnsi" w:hAnsi="Arial" w:cs="Arial"/>
          <w:sz w:val="22"/>
          <w:szCs w:val="22"/>
          <w:lang w:eastAsia="en-US"/>
        </w:rPr>
      </w:pPr>
    </w:p>
    <w:p w:rsidR="00E94EA6" w:rsidRPr="00735B57" w:rsidRDefault="00E94EA6" w:rsidP="00E94EA6">
      <w:pPr>
        <w:pStyle w:val="Corpsdetexte3"/>
        <w:tabs>
          <w:tab w:val="left" w:pos="0"/>
        </w:tabs>
        <w:jc w:val="both"/>
        <w:rPr>
          <w:rFonts w:ascii="Arial" w:eastAsiaTheme="minorHAnsi" w:hAnsi="Arial" w:cs="Arial"/>
          <w:sz w:val="22"/>
          <w:szCs w:val="22"/>
          <w:lang w:eastAsia="en-US"/>
        </w:rPr>
      </w:pPr>
      <w:r w:rsidRPr="00735B57">
        <w:rPr>
          <w:rFonts w:ascii="Arial" w:eastAsiaTheme="minorHAnsi" w:hAnsi="Arial" w:cs="Arial"/>
          <w:sz w:val="22"/>
          <w:szCs w:val="22"/>
          <w:lang w:eastAsia="en-US"/>
        </w:rPr>
        <w:t xml:space="preserve">La dotation </w:t>
      </w:r>
      <w:r w:rsidR="001E6DA7">
        <w:rPr>
          <w:rFonts w:ascii="Arial" w:eastAsiaTheme="minorHAnsi" w:hAnsi="Arial" w:cs="Arial"/>
          <w:sz w:val="22"/>
          <w:szCs w:val="22"/>
          <w:lang w:eastAsia="en-US"/>
        </w:rPr>
        <w:t xml:space="preserve">de </w:t>
      </w:r>
      <w:r w:rsidR="001E6DA7" w:rsidRPr="001E6DA7">
        <w:rPr>
          <w:rFonts w:ascii="Arial" w:eastAsiaTheme="minorHAnsi" w:hAnsi="Arial" w:cs="Arial"/>
          <w:b/>
          <w:sz w:val="22"/>
          <w:szCs w:val="22"/>
          <w:lang w:eastAsia="en-US"/>
        </w:rPr>
        <w:t>8,04M€</w:t>
      </w:r>
      <w:r w:rsidR="001E6DA7">
        <w:rPr>
          <w:rFonts w:ascii="Arial" w:eastAsiaTheme="minorHAnsi" w:hAnsi="Arial" w:cs="Arial"/>
          <w:sz w:val="22"/>
          <w:szCs w:val="22"/>
          <w:lang w:eastAsia="en-US"/>
        </w:rPr>
        <w:t xml:space="preserve"> </w:t>
      </w:r>
      <w:r w:rsidRPr="00735B57">
        <w:rPr>
          <w:rFonts w:ascii="Arial" w:eastAsiaTheme="minorHAnsi" w:hAnsi="Arial" w:cs="Arial"/>
          <w:sz w:val="22"/>
          <w:szCs w:val="22"/>
          <w:lang w:eastAsia="en-US"/>
        </w:rPr>
        <w:t xml:space="preserve">est désormais fléchée depuis le niveau national par établissement autorisé et </w:t>
      </w:r>
      <w:r w:rsidRPr="00290B39">
        <w:rPr>
          <w:rFonts w:ascii="Arial" w:eastAsiaTheme="minorHAnsi" w:hAnsi="Arial" w:cs="Arial"/>
          <w:sz w:val="22"/>
          <w:szCs w:val="22"/>
          <w:lang w:eastAsia="en-US"/>
        </w:rPr>
        <w:t>déléguée en JPE « impérative »</w:t>
      </w:r>
      <w:r w:rsidRPr="00735B57">
        <w:rPr>
          <w:rFonts w:ascii="Arial" w:eastAsiaTheme="minorHAnsi" w:hAnsi="Arial" w:cs="Arial"/>
          <w:sz w:val="22"/>
          <w:szCs w:val="22"/>
          <w:lang w:eastAsia="en-US"/>
        </w:rPr>
        <w:t xml:space="preserve"> dès 2014. En termes de santé publique, l’objectif est de conforter les moyens d’une production de lait suffisante et de qualité pour couvrir les besoins des nouveau-nés dont l’état de santé requiert ce produit de santé, ce quel que soit leur lieu d’hospitalisation.</w:t>
      </w:r>
    </w:p>
    <w:p w:rsidR="00E94EA6" w:rsidRPr="00735B57" w:rsidRDefault="00E94EA6" w:rsidP="00E94EA6">
      <w:pPr>
        <w:jc w:val="both"/>
        <w:rPr>
          <w:rFonts w:ascii="Arial" w:hAnsi="Arial" w:cs="Arial"/>
          <w:sz w:val="22"/>
          <w:szCs w:val="22"/>
        </w:rPr>
      </w:pPr>
      <w:r w:rsidRPr="00735B57">
        <w:rPr>
          <w:rFonts w:ascii="Arial" w:hAnsi="Arial" w:cs="Arial"/>
          <w:sz w:val="22"/>
          <w:szCs w:val="22"/>
        </w:rPr>
        <w:t>Les dotations des établissements sont majorées du coefficient géographique le cas échéant.</w:t>
      </w:r>
    </w:p>
    <w:p w:rsidR="00E94EA6" w:rsidRPr="00735B57" w:rsidRDefault="00E94EA6" w:rsidP="00E94EA6">
      <w:pPr>
        <w:jc w:val="both"/>
        <w:rPr>
          <w:rFonts w:ascii="Arial" w:hAnsi="Arial" w:cs="Arial"/>
          <w:sz w:val="22"/>
          <w:szCs w:val="22"/>
        </w:rPr>
      </w:pPr>
      <w:r w:rsidRPr="00735B57">
        <w:rPr>
          <w:rFonts w:ascii="Arial" w:hAnsi="Arial" w:cs="Arial"/>
          <w:sz w:val="22"/>
          <w:szCs w:val="22"/>
        </w:rPr>
        <w:t>Un travail sera engagé avec l’ATIH en 2014 afin de fiabiliser les données d’activité saisies dans FICHSUP qui doit devenir la source de données pour le calibrage des dotations. Il est rappelé que les établissements doivent impérativement en assurer le recueil.</w:t>
      </w:r>
    </w:p>
    <w:p w:rsidR="00E94EA6" w:rsidRDefault="00E94EA6" w:rsidP="00E94EA6">
      <w:pPr>
        <w:jc w:val="both"/>
        <w:rPr>
          <w:rFonts w:ascii="Arial" w:hAnsi="Arial" w:cs="Arial"/>
          <w:sz w:val="22"/>
          <w:szCs w:val="22"/>
        </w:rPr>
      </w:pPr>
    </w:p>
    <w:p w:rsidR="00E94EA6" w:rsidRPr="00384161" w:rsidRDefault="00E94EA6" w:rsidP="00E94EA6">
      <w:pPr>
        <w:jc w:val="both"/>
        <w:rPr>
          <w:rFonts w:ascii="Arial" w:hAnsi="Arial" w:cs="Arial"/>
          <w:sz w:val="22"/>
          <w:szCs w:val="22"/>
        </w:rPr>
      </w:pPr>
      <w:r w:rsidRPr="00735B57">
        <w:rPr>
          <w:rFonts w:ascii="Arial" w:hAnsi="Arial" w:cs="Arial"/>
          <w:sz w:val="22"/>
          <w:szCs w:val="22"/>
        </w:rPr>
        <w:t>Un accompagnement financier en crédits FMESPP sera par ailleurs délégué dans le cadre de la campagne 2014 pour aider au financement de l’informatisation des lactariums à usage intérieur et extérieur et d’une plateforme nationale de suivi des stocks de lait disponibles.</w:t>
      </w:r>
    </w:p>
    <w:p w:rsidR="00C166A3" w:rsidRDefault="00C166A3" w:rsidP="00C166A3">
      <w:pPr>
        <w:pStyle w:val="Default"/>
        <w:jc w:val="both"/>
        <w:rPr>
          <w:rFonts w:eastAsia="MS Mincho"/>
          <w:b/>
          <w:color w:val="auto"/>
          <w:sz w:val="22"/>
          <w:szCs w:val="22"/>
          <w:lang w:eastAsia="ja-JP"/>
        </w:rPr>
      </w:pPr>
    </w:p>
    <w:p w:rsidR="00E94EA6" w:rsidRDefault="00E94EA6" w:rsidP="00C166A3">
      <w:pPr>
        <w:pStyle w:val="Default"/>
        <w:jc w:val="both"/>
        <w:rPr>
          <w:rFonts w:eastAsia="MS Mincho"/>
          <w:b/>
          <w:color w:val="auto"/>
          <w:sz w:val="22"/>
          <w:szCs w:val="22"/>
          <w:lang w:eastAsia="ja-JP"/>
        </w:rPr>
      </w:pPr>
    </w:p>
    <w:p w:rsidR="009F178D" w:rsidRPr="00166AEF" w:rsidRDefault="009F178D" w:rsidP="005227F5">
      <w:pPr>
        <w:pStyle w:val="Default"/>
        <w:numPr>
          <w:ilvl w:val="0"/>
          <w:numId w:val="5"/>
        </w:numPr>
        <w:jc w:val="both"/>
        <w:rPr>
          <w:rFonts w:eastAsia="MS Mincho"/>
          <w:b/>
          <w:color w:val="auto"/>
          <w:sz w:val="22"/>
          <w:szCs w:val="22"/>
          <w:lang w:eastAsia="ja-JP"/>
        </w:rPr>
      </w:pPr>
      <w:r>
        <w:rPr>
          <w:rFonts w:eastAsia="MS Mincho"/>
          <w:b/>
          <w:color w:val="auto"/>
          <w:sz w:val="22"/>
          <w:szCs w:val="22"/>
          <w:lang w:eastAsia="ja-JP"/>
        </w:rPr>
        <w:t xml:space="preserve">Evolutions </w:t>
      </w:r>
      <w:r w:rsidR="00E94EA6">
        <w:rPr>
          <w:rFonts w:eastAsia="MS Mincho"/>
          <w:b/>
          <w:color w:val="auto"/>
          <w:sz w:val="22"/>
          <w:szCs w:val="22"/>
          <w:lang w:eastAsia="ja-JP"/>
        </w:rPr>
        <w:t>du périmètre de financement des autres MIG</w:t>
      </w:r>
    </w:p>
    <w:p w:rsidR="009F178D" w:rsidRDefault="009F178D" w:rsidP="009F178D">
      <w:pPr>
        <w:pStyle w:val="Default"/>
        <w:jc w:val="both"/>
        <w:rPr>
          <w:rFonts w:eastAsia="MS Mincho"/>
          <w:color w:val="auto"/>
          <w:sz w:val="22"/>
          <w:szCs w:val="22"/>
          <w:lang w:eastAsia="ja-JP"/>
        </w:rPr>
      </w:pPr>
    </w:p>
    <w:p w:rsidR="009F178D" w:rsidRPr="00735B57" w:rsidRDefault="009F178D" w:rsidP="009F178D">
      <w:pPr>
        <w:rPr>
          <w:rFonts w:ascii="Arial" w:hAnsi="Arial" w:cs="Arial"/>
          <w:b/>
          <w:sz w:val="22"/>
          <w:szCs w:val="22"/>
        </w:rPr>
      </w:pPr>
      <w:r>
        <w:rPr>
          <w:rFonts w:ascii="Arial" w:hAnsi="Arial" w:cs="Arial"/>
          <w:b/>
          <w:sz w:val="22"/>
          <w:szCs w:val="22"/>
        </w:rPr>
        <w:t xml:space="preserve">La </w:t>
      </w:r>
      <w:r w:rsidRPr="00735B57">
        <w:rPr>
          <w:rFonts w:ascii="Arial" w:hAnsi="Arial" w:cs="Arial"/>
          <w:b/>
          <w:sz w:val="22"/>
          <w:szCs w:val="22"/>
        </w:rPr>
        <w:t xml:space="preserve">MIG </w:t>
      </w:r>
      <w:r>
        <w:rPr>
          <w:rFonts w:ascii="Arial" w:hAnsi="Arial" w:cs="Arial"/>
          <w:b/>
          <w:sz w:val="22"/>
          <w:szCs w:val="22"/>
        </w:rPr>
        <w:t>« A</w:t>
      </w:r>
      <w:r w:rsidRPr="00735B57">
        <w:rPr>
          <w:rFonts w:ascii="Arial" w:hAnsi="Arial" w:cs="Arial"/>
          <w:b/>
          <w:sz w:val="22"/>
          <w:szCs w:val="22"/>
        </w:rPr>
        <w:t>ssistance médicale à la procréation</w:t>
      </w:r>
      <w:r>
        <w:rPr>
          <w:rFonts w:ascii="Arial" w:hAnsi="Arial" w:cs="Arial"/>
          <w:b/>
          <w:sz w:val="22"/>
          <w:szCs w:val="22"/>
        </w:rPr>
        <w:t> »</w:t>
      </w:r>
    </w:p>
    <w:p w:rsidR="009F178D" w:rsidRPr="00735B57" w:rsidRDefault="009F178D" w:rsidP="009F178D">
      <w:pPr>
        <w:jc w:val="both"/>
        <w:rPr>
          <w:rFonts w:ascii="Arial" w:eastAsia="Calibri" w:hAnsi="Arial" w:cs="Arial"/>
          <w:sz w:val="22"/>
          <w:szCs w:val="22"/>
        </w:rPr>
      </w:pPr>
    </w:p>
    <w:p w:rsidR="00722402" w:rsidRPr="00735B57" w:rsidRDefault="009F178D" w:rsidP="00722402">
      <w:pPr>
        <w:jc w:val="both"/>
        <w:rPr>
          <w:rFonts w:ascii="Arial" w:eastAsia="Calibri" w:hAnsi="Arial" w:cs="Arial"/>
          <w:sz w:val="22"/>
          <w:szCs w:val="22"/>
        </w:rPr>
      </w:pPr>
      <w:r w:rsidRPr="00735B57">
        <w:rPr>
          <w:rFonts w:ascii="Arial" w:eastAsia="Calibri" w:hAnsi="Arial" w:cs="Arial"/>
          <w:sz w:val="22"/>
          <w:szCs w:val="22"/>
        </w:rPr>
        <w:t>Cette MIG a changé de périmètre et d’intitulé en devenant en 2012 « Surcoûts cliniques et biologiques de l’AMP, du don d’ovocytes et de spermatozoïdes, de l’accueil d’embryon et de la préservation de la fertilité ». Elle est destinée aux établissements autorisés pour ces activités. Trois de ses compartiments (don d’ovocytes, don de spermatozoïdes et accueil d’embryon) ont fait l’objet d’un premier volet de modélisation, mise en œuvre pour la répartition des dotations 2013 (cf. circulaire budgétaire 2013). Des travaux complémentaires, menés en collaboration avec l’Agence de biomédecine ont permis d’étudier le financement des derniers compartiments de la MIG, soit les surcoûts des activités de préservation de la fertilité, d’AMP en contexte viral et de l’AMP en général</w:t>
      </w:r>
      <w:r w:rsidRPr="00735B57">
        <w:rPr>
          <w:rStyle w:val="Marquenotebasdepage"/>
          <w:rFonts w:ascii="Arial" w:eastAsia="Calibri" w:hAnsi="Arial" w:cs="Arial"/>
          <w:sz w:val="22"/>
          <w:szCs w:val="22"/>
        </w:rPr>
        <w:footnoteReference w:id="1"/>
      </w:r>
      <w:r w:rsidRPr="00735B57">
        <w:rPr>
          <w:rFonts w:ascii="Arial" w:eastAsia="Calibri" w:hAnsi="Arial" w:cs="Arial"/>
          <w:sz w:val="22"/>
          <w:szCs w:val="22"/>
        </w:rPr>
        <w:t>. La dotation</w:t>
      </w:r>
      <w:r w:rsidR="002B0FC2">
        <w:rPr>
          <w:rFonts w:ascii="Arial" w:eastAsia="Calibri" w:hAnsi="Arial" w:cs="Arial"/>
          <w:sz w:val="22"/>
          <w:szCs w:val="22"/>
        </w:rPr>
        <w:t xml:space="preserve"> d’un montant de </w:t>
      </w:r>
      <w:r w:rsidR="002B0FC2" w:rsidRPr="002B0FC2">
        <w:rPr>
          <w:rFonts w:ascii="Arial" w:eastAsia="Calibri" w:hAnsi="Arial" w:cs="Arial"/>
          <w:b/>
          <w:sz w:val="22"/>
          <w:szCs w:val="22"/>
        </w:rPr>
        <w:t>17,55M€</w:t>
      </w:r>
      <w:r w:rsidRPr="00735B57">
        <w:rPr>
          <w:rFonts w:ascii="Arial" w:eastAsia="Calibri" w:hAnsi="Arial" w:cs="Arial"/>
          <w:sz w:val="22"/>
          <w:szCs w:val="22"/>
        </w:rPr>
        <w:t xml:space="preserve">, à présent entièrement modélisée, </w:t>
      </w:r>
      <w:r w:rsidR="00722402" w:rsidRPr="00735B57">
        <w:rPr>
          <w:rFonts w:ascii="Arial" w:eastAsia="Calibri" w:hAnsi="Arial" w:cs="Arial"/>
          <w:sz w:val="22"/>
          <w:szCs w:val="22"/>
        </w:rPr>
        <w:t>sera désormais déléguée en JPE impérative au niveau de chaque établissement. Les différentes données d’activité sont colligées par l’Agence de la biomédecine (</w:t>
      </w:r>
      <w:r w:rsidR="00722402">
        <w:rPr>
          <w:rFonts w:ascii="Arial" w:eastAsia="Calibri" w:hAnsi="Arial" w:cs="Arial"/>
          <w:sz w:val="22"/>
          <w:szCs w:val="22"/>
        </w:rPr>
        <w:t xml:space="preserve">ABM), </w:t>
      </w:r>
      <w:r w:rsidR="00722402" w:rsidRPr="00735B57">
        <w:rPr>
          <w:rFonts w:ascii="Arial" w:eastAsia="Calibri" w:hAnsi="Arial" w:cs="Arial"/>
          <w:sz w:val="22"/>
          <w:szCs w:val="22"/>
        </w:rPr>
        <w:t>article L. 2142-2 du code de la santé publique</w:t>
      </w:r>
      <w:r w:rsidR="00722402">
        <w:rPr>
          <w:rFonts w:ascii="Arial" w:eastAsia="Calibri" w:hAnsi="Arial" w:cs="Arial"/>
          <w:sz w:val="22"/>
          <w:szCs w:val="22"/>
        </w:rPr>
        <w:t xml:space="preserve"> (CSP</w:t>
      </w:r>
      <w:r w:rsidR="00722402" w:rsidRPr="00735B57">
        <w:rPr>
          <w:rFonts w:ascii="Arial" w:eastAsia="Calibri" w:hAnsi="Arial" w:cs="Arial"/>
          <w:sz w:val="22"/>
          <w:szCs w:val="22"/>
        </w:rPr>
        <w:t>)</w:t>
      </w:r>
      <w:r w:rsidR="00722402">
        <w:rPr>
          <w:rFonts w:ascii="Arial" w:eastAsia="Calibri" w:hAnsi="Arial" w:cs="Arial"/>
          <w:sz w:val="22"/>
          <w:szCs w:val="22"/>
        </w:rPr>
        <w:t xml:space="preserve"> sur la base des données de l’année N-2</w:t>
      </w:r>
      <w:r w:rsidR="00722402" w:rsidRPr="00735B57">
        <w:rPr>
          <w:rFonts w:ascii="Arial" w:eastAsia="Calibri" w:hAnsi="Arial" w:cs="Arial"/>
          <w:sz w:val="22"/>
          <w:szCs w:val="22"/>
        </w:rPr>
        <w:t>.</w:t>
      </w:r>
    </w:p>
    <w:p w:rsidR="009F178D" w:rsidRPr="00735B57" w:rsidRDefault="009F178D" w:rsidP="009F178D">
      <w:pPr>
        <w:jc w:val="both"/>
        <w:rPr>
          <w:rFonts w:ascii="Arial" w:eastAsia="Calibri" w:hAnsi="Arial" w:cs="Arial"/>
          <w:sz w:val="22"/>
          <w:szCs w:val="22"/>
        </w:rPr>
      </w:pPr>
    </w:p>
    <w:p w:rsidR="009F178D" w:rsidRPr="00735B57" w:rsidRDefault="009F178D" w:rsidP="009F178D">
      <w:pPr>
        <w:jc w:val="both"/>
        <w:rPr>
          <w:rFonts w:ascii="Arial" w:hAnsi="Arial" w:cs="Arial"/>
          <w:sz w:val="22"/>
          <w:szCs w:val="22"/>
          <w:u w:val="single"/>
        </w:rPr>
      </w:pPr>
      <w:r w:rsidRPr="00735B57">
        <w:rPr>
          <w:rFonts w:ascii="Arial" w:hAnsi="Arial" w:cs="Arial"/>
          <w:sz w:val="22"/>
          <w:szCs w:val="22"/>
          <w:u w:val="single"/>
        </w:rPr>
        <w:t>Préservation de la fertilité</w:t>
      </w:r>
    </w:p>
    <w:p w:rsidR="00290B39" w:rsidRPr="000120ED" w:rsidRDefault="009F178D" w:rsidP="009F178D">
      <w:pPr>
        <w:jc w:val="both"/>
        <w:rPr>
          <w:rFonts w:ascii="Arial" w:eastAsia="Times New Roman" w:hAnsi="Arial" w:cs="Arial"/>
          <w:color w:val="000000"/>
          <w:sz w:val="22"/>
          <w:szCs w:val="22"/>
        </w:rPr>
      </w:pPr>
      <w:r w:rsidRPr="00735B57">
        <w:rPr>
          <w:rFonts w:ascii="Arial" w:eastAsia="Times New Roman" w:hAnsi="Arial" w:cs="Arial"/>
          <w:color w:val="000000"/>
          <w:sz w:val="22"/>
          <w:szCs w:val="22"/>
        </w:rPr>
        <w:t>En 2014, 32 centres d’AMP sont autorisés à l’activité de préservation de la fertilité et sont donc éligibles à cette MIG. Le type d’activité le plus fréquemment pratiqué est la conservation de paillettes de sperme, qui représente le volume d’activité global le plus important : 40 000 échantillons congelés et cryoconservés en 2011 contre 2 423 pour les autres techniques. Pour inciter les centres à diversifier leur offre de soins en développant, notamment, les techniques de préservation spécifiques aux enfants, adolescents et aux femmes, le modèle pondère les indicateurs d’activité relatifs aux ovocytes, tissus ovariens et tissus testiculaires. Cette pondération permet de tenir compte de la complexité des prises en charge de préservation des ovocytes, qui nécessite un travail de suivi important lors de la stimulation, et des tissus germinaux dont les techniques sont innovantes.</w:t>
      </w:r>
    </w:p>
    <w:p w:rsidR="009F178D" w:rsidRPr="00735B57" w:rsidRDefault="009F178D" w:rsidP="009F178D">
      <w:pPr>
        <w:jc w:val="both"/>
        <w:rPr>
          <w:rFonts w:ascii="Arial" w:hAnsi="Arial" w:cs="Arial"/>
          <w:sz w:val="22"/>
          <w:szCs w:val="22"/>
        </w:rPr>
      </w:pPr>
    </w:p>
    <w:p w:rsidR="009F178D" w:rsidRPr="00735B57" w:rsidRDefault="009F178D" w:rsidP="009F178D">
      <w:pPr>
        <w:jc w:val="both"/>
        <w:rPr>
          <w:rFonts w:ascii="Arial" w:hAnsi="Arial" w:cs="Arial"/>
          <w:sz w:val="22"/>
          <w:szCs w:val="22"/>
        </w:rPr>
      </w:pPr>
      <w:r w:rsidRPr="00735B57">
        <w:rPr>
          <w:rFonts w:ascii="Arial" w:hAnsi="Arial" w:cs="Arial"/>
          <w:sz w:val="22"/>
          <w:szCs w:val="22"/>
        </w:rPr>
        <w:t>Le modèle de répartition des crédits est le suivant :</w:t>
      </w:r>
    </w:p>
    <w:p w:rsidR="009F178D" w:rsidRPr="00735B57" w:rsidRDefault="009F178D" w:rsidP="009F178D">
      <w:pPr>
        <w:jc w:val="both"/>
        <w:rPr>
          <w:rFonts w:ascii="Arial" w:hAnsi="Arial" w:cs="Arial"/>
          <w:sz w:val="22"/>
          <w:szCs w:val="22"/>
        </w:rPr>
      </w:pPr>
    </w:p>
    <w:tbl>
      <w:tblPr>
        <w:tblStyle w:val="Grille"/>
        <w:tblW w:w="0" w:type="auto"/>
        <w:tblInd w:w="2093" w:type="dxa"/>
        <w:tblLook w:val="04A0"/>
      </w:tblPr>
      <w:tblGrid>
        <w:gridCol w:w="2513"/>
        <w:gridCol w:w="1314"/>
      </w:tblGrid>
      <w:tr w:rsidR="009F178D" w:rsidRPr="00735B57">
        <w:tc>
          <w:tcPr>
            <w:tcW w:w="2513" w:type="dxa"/>
          </w:tcPr>
          <w:p w:rsidR="009F178D" w:rsidRPr="00735B57" w:rsidRDefault="009F178D" w:rsidP="00C166A3">
            <w:pPr>
              <w:jc w:val="both"/>
              <w:rPr>
                <w:rFonts w:ascii="Arial" w:hAnsi="Arial" w:cs="Arial"/>
                <w:b/>
              </w:rPr>
            </w:pPr>
            <w:r w:rsidRPr="00735B57">
              <w:rPr>
                <w:rFonts w:ascii="Arial" w:hAnsi="Arial" w:cs="Arial"/>
                <w:b/>
              </w:rPr>
              <w:t>Activité annuelle*</w:t>
            </w:r>
          </w:p>
        </w:tc>
        <w:tc>
          <w:tcPr>
            <w:tcW w:w="1314" w:type="dxa"/>
          </w:tcPr>
          <w:p w:rsidR="009F178D" w:rsidRPr="00735B57" w:rsidRDefault="009F178D" w:rsidP="00C166A3">
            <w:pPr>
              <w:jc w:val="both"/>
              <w:rPr>
                <w:rFonts w:ascii="Arial" w:hAnsi="Arial" w:cs="Arial"/>
                <w:b/>
              </w:rPr>
            </w:pPr>
            <w:r w:rsidRPr="00735B57">
              <w:rPr>
                <w:rFonts w:ascii="Arial" w:hAnsi="Arial" w:cs="Arial"/>
                <w:b/>
              </w:rPr>
              <w:t>Montant</w:t>
            </w:r>
          </w:p>
        </w:tc>
      </w:tr>
      <w:tr w:rsidR="009F178D" w:rsidRPr="00735B57">
        <w:tc>
          <w:tcPr>
            <w:tcW w:w="2513" w:type="dxa"/>
          </w:tcPr>
          <w:p w:rsidR="009F178D" w:rsidRPr="00735B57" w:rsidRDefault="009F178D" w:rsidP="00C166A3">
            <w:pPr>
              <w:jc w:val="both"/>
              <w:rPr>
                <w:rFonts w:ascii="Arial" w:hAnsi="Arial" w:cs="Arial"/>
              </w:rPr>
            </w:pPr>
            <w:r w:rsidRPr="00735B57">
              <w:rPr>
                <w:rFonts w:ascii="Arial" w:hAnsi="Arial" w:cs="Arial"/>
              </w:rPr>
              <w:t>De 0 à 700</w:t>
            </w:r>
          </w:p>
        </w:tc>
        <w:tc>
          <w:tcPr>
            <w:tcW w:w="1314" w:type="dxa"/>
          </w:tcPr>
          <w:p w:rsidR="009F178D" w:rsidRPr="00735B57" w:rsidRDefault="009F178D" w:rsidP="00C166A3">
            <w:pPr>
              <w:jc w:val="both"/>
              <w:rPr>
                <w:rFonts w:ascii="Arial" w:hAnsi="Arial" w:cs="Arial"/>
              </w:rPr>
            </w:pPr>
            <w:r w:rsidRPr="00735B57">
              <w:rPr>
                <w:rFonts w:ascii="Arial" w:hAnsi="Arial" w:cs="Arial"/>
              </w:rPr>
              <w:t>70 000 €</w:t>
            </w:r>
          </w:p>
        </w:tc>
      </w:tr>
      <w:tr w:rsidR="009F178D" w:rsidRPr="00735B57">
        <w:tc>
          <w:tcPr>
            <w:tcW w:w="2513" w:type="dxa"/>
          </w:tcPr>
          <w:p w:rsidR="009F178D" w:rsidRPr="00735B57" w:rsidRDefault="009F178D" w:rsidP="00C166A3">
            <w:pPr>
              <w:jc w:val="both"/>
              <w:rPr>
                <w:rFonts w:ascii="Arial" w:hAnsi="Arial" w:cs="Arial"/>
              </w:rPr>
            </w:pPr>
            <w:r w:rsidRPr="00735B57">
              <w:rPr>
                <w:rFonts w:ascii="Arial" w:hAnsi="Arial" w:cs="Arial"/>
              </w:rPr>
              <w:t>De 701 et 1600</w:t>
            </w:r>
          </w:p>
        </w:tc>
        <w:tc>
          <w:tcPr>
            <w:tcW w:w="1314" w:type="dxa"/>
          </w:tcPr>
          <w:p w:rsidR="009F178D" w:rsidRPr="00735B57" w:rsidRDefault="009F178D" w:rsidP="00C166A3">
            <w:pPr>
              <w:jc w:val="both"/>
              <w:rPr>
                <w:rFonts w:ascii="Arial" w:hAnsi="Arial" w:cs="Arial"/>
              </w:rPr>
            </w:pPr>
            <w:r w:rsidRPr="00735B57">
              <w:rPr>
                <w:rFonts w:ascii="Arial" w:hAnsi="Arial" w:cs="Arial"/>
              </w:rPr>
              <w:t>100 000 €</w:t>
            </w:r>
          </w:p>
        </w:tc>
      </w:tr>
      <w:tr w:rsidR="009F178D" w:rsidRPr="00735B57">
        <w:tc>
          <w:tcPr>
            <w:tcW w:w="2513" w:type="dxa"/>
          </w:tcPr>
          <w:p w:rsidR="009F178D" w:rsidRPr="00735B57" w:rsidRDefault="009F178D" w:rsidP="00C166A3">
            <w:pPr>
              <w:jc w:val="both"/>
              <w:rPr>
                <w:rFonts w:ascii="Arial" w:hAnsi="Arial" w:cs="Arial"/>
              </w:rPr>
            </w:pPr>
            <w:r w:rsidRPr="00735B57">
              <w:rPr>
                <w:rFonts w:ascii="Arial" w:hAnsi="Arial" w:cs="Arial"/>
              </w:rPr>
              <w:t>1601 et plus</w:t>
            </w:r>
          </w:p>
        </w:tc>
        <w:tc>
          <w:tcPr>
            <w:tcW w:w="1314" w:type="dxa"/>
          </w:tcPr>
          <w:p w:rsidR="009F178D" w:rsidRPr="00735B57" w:rsidRDefault="009F178D" w:rsidP="00C166A3">
            <w:pPr>
              <w:jc w:val="both"/>
              <w:rPr>
                <w:rFonts w:ascii="Arial" w:hAnsi="Arial" w:cs="Arial"/>
              </w:rPr>
            </w:pPr>
            <w:r w:rsidRPr="00735B57">
              <w:rPr>
                <w:rFonts w:ascii="Arial" w:hAnsi="Arial" w:cs="Arial"/>
              </w:rPr>
              <w:t>125 000 €</w:t>
            </w:r>
          </w:p>
        </w:tc>
      </w:tr>
    </w:tbl>
    <w:p w:rsidR="009F178D" w:rsidRPr="00735B57" w:rsidRDefault="009F178D" w:rsidP="009F178D">
      <w:pPr>
        <w:jc w:val="both"/>
        <w:rPr>
          <w:rFonts w:ascii="Arial" w:hAnsi="Arial" w:cs="Arial"/>
          <w:sz w:val="22"/>
          <w:szCs w:val="22"/>
        </w:rPr>
      </w:pPr>
    </w:p>
    <w:p w:rsidR="009F178D" w:rsidRPr="00735B57" w:rsidRDefault="009F178D" w:rsidP="009F178D">
      <w:pPr>
        <w:jc w:val="both"/>
        <w:rPr>
          <w:rFonts w:ascii="Arial" w:eastAsia="Times New Roman" w:hAnsi="Arial" w:cs="Arial"/>
          <w:color w:val="000000"/>
          <w:sz w:val="22"/>
          <w:szCs w:val="22"/>
        </w:rPr>
      </w:pPr>
      <w:r w:rsidRPr="00735B57">
        <w:rPr>
          <w:rFonts w:ascii="Arial" w:hAnsi="Arial" w:cs="Arial"/>
          <w:sz w:val="22"/>
          <w:szCs w:val="22"/>
        </w:rPr>
        <w:t>*</w:t>
      </w:r>
      <w:r w:rsidRPr="00735B57">
        <w:rPr>
          <w:rFonts w:ascii="Arial" w:eastAsia="Times New Roman" w:hAnsi="Arial" w:cs="Arial"/>
          <w:color w:val="000000"/>
          <w:sz w:val="22"/>
          <w:szCs w:val="22"/>
        </w:rPr>
        <w:t xml:space="preserve"> L’activité annuelle est calculée comme suit :</w:t>
      </w:r>
    </w:p>
    <w:p w:rsidR="009F178D" w:rsidRPr="00735B57" w:rsidRDefault="009F178D" w:rsidP="009F178D">
      <w:pPr>
        <w:jc w:val="both"/>
        <w:rPr>
          <w:rFonts w:ascii="Arial" w:eastAsia="Times New Roman" w:hAnsi="Arial" w:cs="Arial"/>
          <w:color w:val="000000"/>
          <w:sz w:val="22"/>
          <w:szCs w:val="22"/>
        </w:rPr>
      </w:pPr>
      <w:r w:rsidRPr="00735B57">
        <w:rPr>
          <w:rFonts w:ascii="Arial" w:eastAsia="Times New Roman" w:hAnsi="Arial" w:cs="Arial"/>
          <w:color w:val="000000"/>
          <w:sz w:val="22"/>
          <w:szCs w:val="22"/>
        </w:rPr>
        <w:t>Nombre de nouveaux patients dont les paillettes de spermatozoïdes ont été congelées et cryoconservées dans l’année</w:t>
      </w:r>
    </w:p>
    <w:p w:rsidR="009F178D" w:rsidRPr="00735B57" w:rsidRDefault="009F178D" w:rsidP="009F178D">
      <w:pPr>
        <w:jc w:val="both"/>
        <w:rPr>
          <w:rFonts w:ascii="Arial" w:eastAsia="Times New Roman" w:hAnsi="Arial" w:cs="Arial"/>
          <w:color w:val="000000"/>
          <w:sz w:val="22"/>
          <w:szCs w:val="22"/>
        </w:rPr>
      </w:pPr>
      <w:r w:rsidRPr="00735B57">
        <w:rPr>
          <w:rFonts w:ascii="Arial" w:eastAsia="Times New Roman" w:hAnsi="Arial" w:cs="Arial"/>
          <w:b/>
          <w:color w:val="000000"/>
          <w:sz w:val="22"/>
          <w:szCs w:val="22"/>
        </w:rPr>
        <w:t xml:space="preserve">+ 2 </w:t>
      </w:r>
      <w:r w:rsidRPr="00735B57">
        <w:rPr>
          <w:rFonts w:ascii="Arial" w:eastAsia="Times New Roman" w:hAnsi="Arial" w:cs="Arial"/>
          <w:color w:val="000000"/>
          <w:sz w:val="22"/>
          <w:szCs w:val="22"/>
        </w:rPr>
        <w:t>x (nombre de nouvelles patientes dont les ovocytes ont été congelés et cryoconservés dans l’année)</w:t>
      </w:r>
    </w:p>
    <w:p w:rsidR="009F178D" w:rsidRPr="00735B57" w:rsidRDefault="009F178D" w:rsidP="009F178D">
      <w:pPr>
        <w:jc w:val="both"/>
        <w:rPr>
          <w:rFonts w:ascii="Arial" w:eastAsia="Times New Roman" w:hAnsi="Arial" w:cs="Arial"/>
          <w:color w:val="000000"/>
          <w:sz w:val="22"/>
          <w:szCs w:val="22"/>
        </w:rPr>
      </w:pPr>
      <w:r w:rsidRPr="00735B57">
        <w:rPr>
          <w:rFonts w:ascii="Arial" w:eastAsia="Times New Roman" w:hAnsi="Arial" w:cs="Arial"/>
          <w:b/>
          <w:color w:val="000000"/>
          <w:sz w:val="22"/>
          <w:szCs w:val="22"/>
        </w:rPr>
        <w:t>+</w:t>
      </w:r>
      <w:r w:rsidRPr="00735B57">
        <w:rPr>
          <w:rFonts w:ascii="Arial" w:eastAsia="Times New Roman" w:hAnsi="Arial" w:cs="Arial"/>
          <w:color w:val="000000"/>
          <w:sz w:val="22"/>
          <w:szCs w:val="22"/>
        </w:rPr>
        <w:t xml:space="preserve"> </w:t>
      </w:r>
      <w:r w:rsidRPr="00735B57">
        <w:rPr>
          <w:rFonts w:ascii="Arial" w:eastAsia="Times New Roman" w:hAnsi="Arial" w:cs="Arial"/>
          <w:b/>
          <w:color w:val="000000"/>
          <w:sz w:val="22"/>
          <w:szCs w:val="22"/>
        </w:rPr>
        <w:t>5</w:t>
      </w:r>
      <w:r w:rsidRPr="00735B57">
        <w:rPr>
          <w:rFonts w:ascii="Arial" w:eastAsia="Times New Roman" w:hAnsi="Arial" w:cs="Arial"/>
          <w:color w:val="000000"/>
          <w:sz w:val="22"/>
          <w:szCs w:val="22"/>
        </w:rPr>
        <w:t xml:space="preserve"> x (nombre de nouveaux patient</w:t>
      </w:r>
      <w:r w:rsidR="00722402">
        <w:rPr>
          <w:rFonts w:ascii="Arial" w:eastAsia="Times New Roman" w:hAnsi="Arial" w:cs="Arial"/>
          <w:color w:val="000000"/>
          <w:sz w:val="22"/>
          <w:szCs w:val="22"/>
        </w:rPr>
        <w:t>s</w:t>
      </w:r>
      <w:r w:rsidRPr="00735B57">
        <w:rPr>
          <w:rFonts w:ascii="Arial" w:eastAsia="Times New Roman" w:hAnsi="Arial" w:cs="Arial"/>
          <w:color w:val="000000"/>
          <w:sz w:val="22"/>
          <w:szCs w:val="22"/>
        </w:rPr>
        <w:t xml:space="preserve"> dont les tissus germinaux ont été congelés et cryoconservés dans l’année).</w:t>
      </w:r>
    </w:p>
    <w:p w:rsidR="009F178D" w:rsidRPr="00735B57" w:rsidRDefault="009F178D" w:rsidP="009F178D">
      <w:pPr>
        <w:jc w:val="both"/>
        <w:rPr>
          <w:rFonts w:ascii="Arial" w:eastAsia="Times New Roman" w:hAnsi="Arial" w:cs="Arial"/>
          <w:color w:val="000000"/>
          <w:sz w:val="22"/>
          <w:szCs w:val="22"/>
        </w:rPr>
      </w:pPr>
      <w:r w:rsidRPr="00735B57">
        <w:rPr>
          <w:rFonts w:ascii="Arial" w:eastAsia="Times New Roman" w:hAnsi="Arial" w:cs="Arial"/>
          <w:color w:val="000000"/>
          <w:sz w:val="22"/>
          <w:szCs w:val="22"/>
        </w:rPr>
        <w:t>A noter que les centres nouvellement autorisés, qui n’avai</w:t>
      </w:r>
      <w:r w:rsidR="00C31ED1">
        <w:rPr>
          <w:rFonts w:ascii="Arial" w:eastAsia="Times New Roman" w:hAnsi="Arial" w:cs="Arial"/>
          <w:color w:val="000000"/>
          <w:sz w:val="22"/>
          <w:szCs w:val="22"/>
        </w:rPr>
        <w:t>ent</w:t>
      </w:r>
      <w:r w:rsidRPr="00735B57">
        <w:rPr>
          <w:rFonts w:ascii="Arial" w:eastAsia="Times New Roman" w:hAnsi="Arial" w:cs="Arial"/>
          <w:color w:val="000000"/>
          <w:sz w:val="22"/>
          <w:szCs w:val="22"/>
        </w:rPr>
        <w:t xml:space="preserve"> pas d’activité en 2011, sont destinataires du premier niveau de financement.</w:t>
      </w:r>
    </w:p>
    <w:p w:rsidR="009F178D" w:rsidRPr="00735B57" w:rsidRDefault="009F178D" w:rsidP="009F178D">
      <w:pPr>
        <w:jc w:val="both"/>
        <w:rPr>
          <w:rFonts w:ascii="Arial" w:hAnsi="Arial" w:cs="Arial"/>
          <w:sz w:val="22"/>
          <w:szCs w:val="22"/>
        </w:rPr>
      </w:pPr>
    </w:p>
    <w:p w:rsidR="009F178D" w:rsidRPr="00735B57" w:rsidRDefault="009F178D" w:rsidP="009F178D">
      <w:pPr>
        <w:keepNext/>
        <w:jc w:val="both"/>
        <w:rPr>
          <w:rFonts w:ascii="Arial" w:hAnsi="Arial" w:cs="Arial"/>
          <w:sz w:val="22"/>
          <w:szCs w:val="22"/>
          <w:u w:val="single"/>
        </w:rPr>
      </w:pPr>
      <w:r w:rsidRPr="00735B57">
        <w:rPr>
          <w:rFonts w:ascii="Arial" w:hAnsi="Arial" w:cs="Arial"/>
          <w:sz w:val="22"/>
          <w:szCs w:val="22"/>
          <w:u w:val="single"/>
        </w:rPr>
        <w:t>AMP en contexte viral</w:t>
      </w:r>
    </w:p>
    <w:p w:rsidR="009F178D" w:rsidRPr="00735B57" w:rsidRDefault="009F178D" w:rsidP="009F178D">
      <w:pPr>
        <w:keepNext/>
        <w:jc w:val="both"/>
        <w:rPr>
          <w:rFonts w:ascii="Arial" w:hAnsi="Arial" w:cs="Arial"/>
          <w:sz w:val="22"/>
          <w:szCs w:val="22"/>
        </w:rPr>
      </w:pPr>
      <w:r w:rsidRPr="00735B57">
        <w:rPr>
          <w:rFonts w:ascii="Arial" w:hAnsi="Arial" w:cs="Arial"/>
          <w:sz w:val="22"/>
          <w:szCs w:val="22"/>
        </w:rPr>
        <w:t>Les surcoûts de l’AMP en contexte viral sont notamment liés à la nécessité de disposer d’un laboratoire dédié (arrêté du 3 août 2010 relatif aux bonnes pratiques cliniques et biologiques d’AMP). L’enveloppe MIG annuelle allouée pour l’AMP en contexte viral finance les surcoûts cliniques, l’amortissement du matériel de laboratoire (fixé à 10%) et les charges générales fixées à 20%.</w:t>
      </w:r>
    </w:p>
    <w:p w:rsidR="009F178D" w:rsidRPr="00735B57" w:rsidRDefault="009F178D" w:rsidP="009F178D">
      <w:pPr>
        <w:jc w:val="both"/>
        <w:rPr>
          <w:rFonts w:ascii="Arial" w:hAnsi="Arial" w:cs="Arial"/>
          <w:sz w:val="22"/>
          <w:szCs w:val="22"/>
        </w:rPr>
      </w:pPr>
    </w:p>
    <w:p w:rsidR="009F178D" w:rsidRPr="00735B57" w:rsidRDefault="009F178D" w:rsidP="009F178D">
      <w:pPr>
        <w:jc w:val="both"/>
        <w:rPr>
          <w:rFonts w:ascii="Arial" w:hAnsi="Arial" w:cs="Arial"/>
          <w:sz w:val="22"/>
          <w:szCs w:val="22"/>
        </w:rPr>
      </w:pPr>
      <w:r w:rsidRPr="00735B57">
        <w:rPr>
          <w:rFonts w:ascii="Arial" w:hAnsi="Arial" w:cs="Arial"/>
          <w:sz w:val="22"/>
          <w:szCs w:val="22"/>
        </w:rPr>
        <w:t>Le modèle de répartition des crédits est le suivant :</w:t>
      </w:r>
    </w:p>
    <w:p w:rsidR="009F178D" w:rsidRPr="00735B57" w:rsidRDefault="009F178D" w:rsidP="009F178D">
      <w:pPr>
        <w:jc w:val="both"/>
        <w:rPr>
          <w:rFonts w:ascii="Arial" w:hAnsi="Arial" w:cs="Arial"/>
          <w:sz w:val="22"/>
          <w:szCs w:val="22"/>
        </w:rPr>
      </w:pPr>
    </w:p>
    <w:tbl>
      <w:tblPr>
        <w:tblStyle w:val="Grille"/>
        <w:tblW w:w="0" w:type="auto"/>
        <w:tblInd w:w="1101" w:type="dxa"/>
        <w:tblLook w:val="04A0"/>
      </w:tblPr>
      <w:tblGrid>
        <w:gridCol w:w="4110"/>
        <w:gridCol w:w="1843"/>
      </w:tblGrid>
      <w:tr w:rsidR="009F178D" w:rsidRPr="00735B57">
        <w:tc>
          <w:tcPr>
            <w:tcW w:w="4110" w:type="dxa"/>
          </w:tcPr>
          <w:p w:rsidR="009F178D" w:rsidRPr="00735B57" w:rsidRDefault="009F178D" w:rsidP="00C166A3">
            <w:pPr>
              <w:ind w:left="33" w:hanging="33"/>
              <w:jc w:val="both"/>
              <w:rPr>
                <w:rFonts w:ascii="Arial" w:hAnsi="Arial" w:cs="Arial"/>
                <w:b/>
              </w:rPr>
            </w:pPr>
            <w:r w:rsidRPr="00735B57">
              <w:rPr>
                <w:rFonts w:ascii="Arial" w:hAnsi="Arial" w:cs="Arial"/>
                <w:b/>
              </w:rPr>
              <w:t xml:space="preserve">Nombre annuel de tentatives d’AMP </w:t>
            </w:r>
          </w:p>
        </w:tc>
        <w:tc>
          <w:tcPr>
            <w:tcW w:w="1843" w:type="dxa"/>
          </w:tcPr>
          <w:p w:rsidR="009F178D" w:rsidRPr="00735B57" w:rsidRDefault="009F178D" w:rsidP="00C166A3">
            <w:pPr>
              <w:jc w:val="both"/>
              <w:rPr>
                <w:rFonts w:ascii="Arial" w:hAnsi="Arial" w:cs="Arial"/>
                <w:b/>
              </w:rPr>
            </w:pPr>
            <w:r w:rsidRPr="00735B57">
              <w:rPr>
                <w:rFonts w:ascii="Arial" w:hAnsi="Arial" w:cs="Arial"/>
                <w:b/>
              </w:rPr>
              <w:t>Montant</w:t>
            </w:r>
          </w:p>
        </w:tc>
      </w:tr>
      <w:tr w:rsidR="009F178D" w:rsidRPr="00735B57">
        <w:tc>
          <w:tcPr>
            <w:tcW w:w="4110" w:type="dxa"/>
          </w:tcPr>
          <w:p w:rsidR="009F178D" w:rsidRPr="00735B57" w:rsidRDefault="009F178D" w:rsidP="00C166A3">
            <w:pPr>
              <w:ind w:left="33" w:hanging="33"/>
              <w:jc w:val="both"/>
              <w:rPr>
                <w:rFonts w:ascii="Arial" w:hAnsi="Arial" w:cs="Arial"/>
              </w:rPr>
            </w:pPr>
            <w:r w:rsidRPr="00735B57">
              <w:rPr>
                <w:rFonts w:ascii="Arial" w:hAnsi="Arial" w:cs="Arial"/>
              </w:rPr>
              <w:t xml:space="preserve">0 à 40 </w:t>
            </w:r>
          </w:p>
        </w:tc>
        <w:tc>
          <w:tcPr>
            <w:tcW w:w="1843" w:type="dxa"/>
          </w:tcPr>
          <w:p w:rsidR="009F178D" w:rsidRPr="00735B57" w:rsidRDefault="009F178D" w:rsidP="00C166A3">
            <w:pPr>
              <w:jc w:val="both"/>
              <w:rPr>
                <w:rFonts w:ascii="Arial" w:hAnsi="Arial" w:cs="Arial"/>
              </w:rPr>
            </w:pPr>
            <w:r w:rsidRPr="00735B57">
              <w:rPr>
                <w:rFonts w:ascii="Arial" w:hAnsi="Arial" w:cs="Arial"/>
              </w:rPr>
              <w:t>45 000 € </w:t>
            </w:r>
          </w:p>
        </w:tc>
      </w:tr>
      <w:tr w:rsidR="009F178D" w:rsidRPr="00735B57">
        <w:tc>
          <w:tcPr>
            <w:tcW w:w="4110" w:type="dxa"/>
          </w:tcPr>
          <w:p w:rsidR="009F178D" w:rsidRPr="00735B57" w:rsidRDefault="009F178D" w:rsidP="00C166A3">
            <w:pPr>
              <w:ind w:left="33" w:hanging="33"/>
              <w:jc w:val="both"/>
              <w:rPr>
                <w:rFonts w:ascii="Arial" w:hAnsi="Arial" w:cs="Arial"/>
              </w:rPr>
            </w:pPr>
            <w:r w:rsidRPr="00735B57">
              <w:rPr>
                <w:rFonts w:ascii="Arial" w:hAnsi="Arial" w:cs="Arial"/>
              </w:rPr>
              <w:t xml:space="preserve">De 41 à 100 </w:t>
            </w:r>
          </w:p>
        </w:tc>
        <w:tc>
          <w:tcPr>
            <w:tcW w:w="1843" w:type="dxa"/>
          </w:tcPr>
          <w:p w:rsidR="009F178D" w:rsidRPr="00735B57" w:rsidRDefault="009F178D" w:rsidP="00C166A3">
            <w:pPr>
              <w:jc w:val="both"/>
              <w:rPr>
                <w:rFonts w:ascii="Arial" w:hAnsi="Arial" w:cs="Arial"/>
              </w:rPr>
            </w:pPr>
            <w:r w:rsidRPr="00735B57">
              <w:rPr>
                <w:rFonts w:ascii="Arial" w:hAnsi="Arial" w:cs="Arial"/>
              </w:rPr>
              <w:t xml:space="preserve">60 000 €   </w:t>
            </w:r>
          </w:p>
        </w:tc>
      </w:tr>
      <w:tr w:rsidR="009F178D" w:rsidRPr="00735B57">
        <w:tc>
          <w:tcPr>
            <w:tcW w:w="4110" w:type="dxa"/>
          </w:tcPr>
          <w:p w:rsidR="009F178D" w:rsidRPr="00735B57" w:rsidRDefault="009F178D" w:rsidP="00C166A3">
            <w:pPr>
              <w:ind w:left="33" w:hanging="33"/>
              <w:jc w:val="both"/>
              <w:rPr>
                <w:rFonts w:ascii="Arial" w:hAnsi="Arial" w:cs="Arial"/>
              </w:rPr>
            </w:pPr>
            <w:r w:rsidRPr="00735B57">
              <w:rPr>
                <w:rFonts w:ascii="Arial" w:hAnsi="Arial" w:cs="Arial"/>
              </w:rPr>
              <w:t xml:space="preserve">101 et plus </w:t>
            </w:r>
          </w:p>
        </w:tc>
        <w:tc>
          <w:tcPr>
            <w:tcW w:w="1843" w:type="dxa"/>
          </w:tcPr>
          <w:p w:rsidR="009F178D" w:rsidRPr="00735B57" w:rsidRDefault="009F178D" w:rsidP="00C166A3">
            <w:pPr>
              <w:jc w:val="both"/>
              <w:rPr>
                <w:rFonts w:ascii="Arial" w:hAnsi="Arial" w:cs="Arial"/>
              </w:rPr>
            </w:pPr>
            <w:r w:rsidRPr="00735B57">
              <w:rPr>
                <w:rFonts w:ascii="Arial" w:hAnsi="Arial" w:cs="Arial"/>
              </w:rPr>
              <w:t xml:space="preserve">80 000 €   </w:t>
            </w:r>
          </w:p>
        </w:tc>
      </w:tr>
    </w:tbl>
    <w:p w:rsidR="009F178D" w:rsidRPr="00735B57" w:rsidRDefault="009F178D" w:rsidP="009F178D">
      <w:pPr>
        <w:tabs>
          <w:tab w:val="left" w:pos="6949"/>
        </w:tabs>
        <w:jc w:val="both"/>
        <w:rPr>
          <w:rFonts w:ascii="Arial" w:hAnsi="Arial" w:cs="Arial"/>
          <w:b/>
          <w:sz w:val="22"/>
          <w:szCs w:val="22"/>
        </w:rPr>
      </w:pPr>
    </w:p>
    <w:p w:rsidR="009F178D" w:rsidRPr="00735B57" w:rsidRDefault="009F178D" w:rsidP="009F178D">
      <w:pPr>
        <w:tabs>
          <w:tab w:val="left" w:pos="6949"/>
        </w:tabs>
        <w:jc w:val="both"/>
        <w:rPr>
          <w:rFonts w:ascii="Arial" w:hAnsi="Arial" w:cs="Arial"/>
          <w:sz w:val="22"/>
          <w:szCs w:val="22"/>
          <w:u w:val="single"/>
        </w:rPr>
      </w:pPr>
      <w:r w:rsidRPr="00735B57">
        <w:rPr>
          <w:rFonts w:ascii="Arial" w:hAnsi="Arial" w:cs="Arial"/>
          <w:sz w:val="22"/>
          <w:szCs w:val="22"/>
          <w:u w:val="single"/>
        </w:rPr>
        <w:t>Financement des surcoûts de l’AMP</w:t>
      </w:r>
    </w:p>
    <w:p w:rsidR="009F178D" w:rsidRPr="00735B57" w:rsidRDefault="009F178D" w:rsidP="009F178D">
      <w:pPr>
        <w:jc w:val="both"/>
        <w:rPr>
          <w:rFonts w:ascii="Arial" w:hAnsi="Arial" w:cs="Arial"/>
          <w:sz w:val="22"/>
          <w:szCs w:val="22"/>
        </w:rPr>
      </w:pPr>
      <w:r w:rsidRPr="00735B57">
        <w:rPr>
          <w:rFonts w:ascii="Arial" w:hAnsi="Arial" w:cs="Arial"/>
          <w:sz w:val="22"/>
          <w:szCs w:val="22"/>
        </w:rPr>
        <w:t>Les surcoûts identifiés pour cette activité sont liées à l’obligation de renseigner le registre national des FIV qui</w:t>
      </w:r>
      <w:r w:rsidRPr="00735B57">
        <w:rPr>
          <w:rFonts w:ascii="Arial" w:hAnsi="Arial" w:cs="Arial"/>
          <w:b/>
          <w:bCs/>
          <w:color w:val="000000"/>
          <w:sz w:val="22"/>
          <w:szCs w:val="22"/>
        </w:rPr>
        <w:t xml:space="preserve"> </w:t>
      </w:r>
      <w:r w:rsidRPr="00735B57">
        <w:rPr>
          <w:rFonts w:ascii="Arial" w:hAnsi="Arial" w:cs="Arial"/>
          <w:sz w:val="22"/>
          <w:szCs w:val="22"/>
        </w:rPr>
        <w:t>recueille des informations relatives à chaque tentative. La communication de ces informations est prévue par l’article L.6113-8 du CSP. En 2011, 70 % des tentatives de FIV ont fait l’objet d’une transmission de données, ce qui ne permet pas de réaliser de manière pertinent</w:t>
      </w:r>
      <w:r w:rsidR="00C31ED1">
        <w:rPr>
          <w:rFonts w:ascii="Arial" w:hAnsi="Arial" w:cs="Arial"/>
          <w:sz w:val="22"/>
          <w:szCs w:val="22"/>
        </w:rPr>
        <w:t>e</w:t>
      </w:r>
      <w:r w:rsidRPr="00735B57">
        <w:rPr>
          <w:rFonts w:ascii="Arial" w:hAnsi="Arial" w:cs="Arial"/>
          <w:sz w:val="22"/>
          <w:szCs w:val="22"/>
        </w:rPr>
        <w:t xml:space="preserve"> l’évaluation des activités d’AMP conformément aux missions de l’ABM (article L.1418-1 du CSP), et notamment l’évaluation des résultats de chacun des centres. </w:t>
      </w:r>
    </w:p>
    <w:p w:rsidR="009F178D" w:rsidRDefault="009F178D" w:rsidP="009F178D">
      <w:pPr>
        <w:suppressAutoHyphens/>
        <w:autoSpaceDE w:val="0"/>
        <w:jc w:val="both"/>
        <w:rPr>
          <w:rFonts w:ascii="Arial" w:eastAsia="Times New Roman" w:hAnsi="Arial" w:cs="Arial"/>
          <w:sz w:val="22"/>
          <w:szCs w:val="22"/>
          <w:lang w:eastAsia="ar-SA"/>
        </w:rPr>
      </w:pPr>
    </w:p>
    <w:p w:rsidR="009F178D" w:rsidRPr="00735B57" w:rsidRDefault="009F178D" w:rsidP="009F178D">
      <w:pPr>
        <w:suppressAutoHyphens/>
        <w:autoSpaceDE w:val="0"/>
        <w:jc w:val="both"/>
        <w:rPr>
          <w:rFonts w:ascii="Arial" w:eastAsia="Times New Roman" w:hAnsi="Arial" w:cs="Arial"/>
          <w:sz w:val="22"/>
          <w:szCs w:val="22"/>
          <w:lang w:eastAsia="ar-SA"/>
        </w:rPr>
      </w:pPr>
      <w:r w:rsidRPr="00735B57">
        <w:rPr>
          <w:rFonts w:ascii="Arial" w:eastAsia="Times New Roman" w:hAnsi="Arial" w:cs="Arial"/>
          <w:sz w:val="22"/>
          <w:szCs w:val="22"/>
          <w:lang w:eastAsia="ar-SA"/>
        </w:rPr>
        <w:t>Les professionnels des centres d’AMP assurent également un travail administratif afférent à la programmation et la coordination des rendez-vous, à la récupération et la gestion des résultats, à la délivrance des consignes, et aux relances annuelles des couples qui disposent de gamètes et d’embryons congelés.</w:t>
      </w:r>
    </w:p>
    <w:p w:rsidR="009F178D" w:rsidRDefault="009F178D" w:rsidP="009F178D">
      <w:pPr>
        <w:suppressAutoHyphens/>
        <w:autoSpaceDE w:val="0"/>
        <w:jc w:val="both"/>
        <w:rPr>
          <w:rFonts w:ascii="Arial" w:eastAsia="Times New Roman" w:hAnsi="Arial" w:cs="Arial"/>
          <w:sz w:val="22"/>
          <w:szCs w:val="22"/>
          <w:lang w:eastAsia="ar-SA"/>
        </w:rPr>
      </w:pPr>
      <w:r w:rsidRPr="00735B57">
        <w:rPr>
          <w:rFonts w:ascii="Arial" w:eastAsia="Times New Roman" w:hAnsi="Arial" w:cs="Arial"/>
          <w:sz w:val="22"/>
          <w:szCs w:val="22"/>
          <w:lang w:eastAsia="ar-SA"/>
        </w:rPr>
        <w:t>Le maintien du financement des établissements sera dépendant de l’exhaustivité et de la qualité du remplissage du registre des FIV.</w:t>
      </w:r>
    </w:p>
    <w:p w:rsidR="00C13554" w:rsidRPr="00735B57" w:rsidRDefault="00C13554" w:rsidP="009F178D">
      <w:pPr>
        <w:suppressAutoHyphens/>
        <w:autoSpaceDE w:val="0"/>
        <w:jc w:val="both"/>
        <w:rPr>
          <w:rFonts w:ascii="Arial" w:eastAsia="Times New Roman" w:hAnsi="Arial" w:cs="Arial"/>
          <w:sz w:val="22"/>
          <w:szCs w:val="22"/>
          <w:lang w:eastAsia="ar-SA"/>
        </w:rPr>
      </w:pPr>
    </w:p>
    <w:p w:rsidR="009F178D" w:rsidRPr="00735B57" w:rsidRDefault="009F178D" w:rsidP="009F178D">
      <w:pPr>
        <w:jc w:val="both"/>
        <w:rPr>
          <w:rFonts w:ascii="Arial" w:hAnsi="Arial" w:cs="Arial"/>
          <w:sz w:val="22"/>
          <w:szCs w:val="22"/>
        </w:rPr>
      </w:pPr>
      <w:r w:rsidRPr="00735B57">
        <w:rPr>
          <w:rFonts w:ascii="Arial" w:hAnsi="Arial" w:cs="Arial"/>
          <w:sz w:val="22"/>
          <w:szCs w:val="22"/>
        </w:rPr>
        <w:t>Le modèle de répartition des crédits est le suivant :</w:t>
      </w:r>
    </w:p>
    <w:p w:rsidR="009F178D" w:rsidRPr="00735B57" w:rsidRDefault="009F178D" w:rsidP="009F178D">
      <w:pPr>
        <w:jc w:val="both"/>
        <w:rPr>
          <w:rFonts w:ascii="Arial" w:hAnsi="Arial" w:cs="Arial"/>
          <w:sz w:val="22"/>
          <w:szCs w:val="22"/>
        </w:rPr>
      </w:pPr>
    </w:p>
    <w:tbl>
      <w:tblPr>
        <w:tblStyle w:val="Grille"/>
        <w:tblW w:w="0" w:type="auto"/>
        <w:tblInd w:w="1101" w:type="dxa"/>
        <w:tblLook w:val="04A0"/>
      </w:tblPr>
      <w:tblGrid>
        <w:gridCol w:w="4252"/>
        <w:gridCol w:w="1739"/>
      </w:tblGrid>
      <w:tr w:rsidR="009F178D" w:rsidRPr="00735B57">
        <w:tc>
          <w:tcPr>
            <w:tcW w:w="4252" w:type="dxa"/>
          </w:tcPr>
          <w:p w:rsidR="009F178D" w:rsidRPr="00735B57" w:rsidRDefault="009F178D" w:rsidP="00C166A3">
            <w:pPr>
              <w:jc w:val="both"/>
              <w:rPr>
                <w:rFonts w:ascii="Arial" w:hAnsi="Arial" w:cs="Arial"/>
                <w:b/>
              </w:rPr>
            </w:pPr>
            <w:r w:rsidRPr="00735B57">
              <w:rPr>
                <w:rFonts w:ascii="Arial" w:hAnsi="Arial" w:cs="Arial"/>
                <w:b/>
              </w:rPr>
              <w:t>Nombre annuel de ponctions d’ovocytes</w:t>
            </w:r>
          </w:p>
        </w:tc>
        <w:tc>
          <w:tcPr>
            <w:tcW w:w="1739" w:type="dxa"/>
          </w:tcPr>
          <w:p w:rsidR="009F178D" w:rsidRPr="00735B57" w:rsidRDefault="009F178D" w:rsidP="00C166A3">
            <w:pPr>
              <w:jc w:val="both"/>
              <w:rPr>
                <w:rFonts w:ascii="Arial" w:hAnsi="Arial" w:cs="Arial"/>
                <w:b/>
              </w:rPr>
            </w:pPr>
            <w:r w:rsidRPr="00735B57">
              <w:rPr>
                <w:rFonts w:ascii="Arial" w:hAnsi="Arial" w:cs="Arial"/>
                <w:b/>
              </w:rPr>
              <w:t>Montant</w:t>
            </w:r>
          </w:p>
        </w:tc>
      </w:tr>
      <w:tr w:rsidR="009F178D" w:rsidRPr="00735B57">
        <w:tc>
          <w:tcPr>
            <w:tcW w:w="4252" w:type="dxa"/>
          </w:tcPr>
          <w:p w:rsidR="009F178D" w:rsidRPr="00735B57" w:rsidRDefault="009F178D" w:rsidP="00C166A3">
            <w:pPr>
              <w:jc w:val="both"/>
              <w:rPr>
                <w:rFonts w:ascii="Arial" w:hAnsi="Arial" w:cs="Arial"/>
              </w:rPr>
            </w:pPr>
            <w:r w:rsidRPr="00735B57">
              <w:rPr>
                <w:rFonts w:ascii="Arial" w:hAnsi="Arial" w:cs="Arial"/>
              </w:rPr>
              <w:t>&lt; 350</w:t>
            </w:r>
          </w:p>
        </w:tc>
        <w:tc>
          <w:tcPr>
            <w:tcW w:w="1739" w:type="dxa"/>
          </w:tcPr>
          <w:p w:rsidR="009F178D" w:rsidRPr="00735B57" w:rsidRDefault="009F178D" w:rsidP="00C166A3">
            <w:pPr>
              <w:jc w:val="both"/>
              <w:rPr>
                <w:rFonts w:ascii="Arial" w:hAnsi="Arial" w:cs="Arial"/>
              </w:rPr>
            </w:pPr>
            <w:r w:rsidRPr="00735B57">
              <w:rPr>
                <w:rFonts w:ascii="Arial" w:hAnsi="Arial" w:cs="Arial"/>
              </w:rPr>
              <w:t>30 000 €</w:t>
            </w:r>
          </w:p>
        </w:tc>
      </w:tr>
      <w:tr w:rsidR="009F178D" w:rsidRPr="00735B57">
        <w:tc>
          <w:tcPr>
            <w:tcW w:w="4252" w:type="dxa"/>
          </w:tcPr>
          <w:p w:rsidR="009F178D" w:rsidRPr="00735B57" w:rsidRDefault="009F178D" w:rsidP="00C166A3">
            <w:pPr>
              <w:jc w:val="both"/>
              <w:rPr>
                <w:rFonts w:ascii="Arial" w:hAnsi="Arial" w:cs="Arial"/>
              </w:rPr>
            </w:pPr>
            <w:r w:rsidRPr="00735B57">
              <w:rPr>
                <w:rFonts w:ascii="Arial" w:hAnsi="Arial" w:cs="Arial"/>
              </w:rPr>
              <w:t>Entre 350 et 540</w:t>
            </w:r>
          </w:p>
        </w:tc>
        <w:tc>
          <w:tcPr>
            <w:tcW w:w="1739" w:type="dxa"/>
          </w:tcPr>
          <w:p w:rsidR="009F178D" w:rsidRPr="00735B57" w:rsidRDefault="009F178D" w:rsidP="00C166A3">
            <w:pPr>
              <w:jc w:val="both"/>
              <w:rPr>
                <w:rFonts w:ascii="Arial" w:hAnsi="Arial" w:cs="Arial"/>
              </w:rPr>
            </w:pPr>
            <w:r w:rsidRPr="00735B57">
              <w:rPr>
                <w:rFonts w:ascii="Arial" w:hAnsi="Arial" w:cs="Arial"/>
              </w:rPr>
              <w:t>45 000 €</w:t>
            </w:r>
          </w:p>
        </w:tc>
      </w:tr>
      <w:tr w:rsidR="009F178D" w:rsidRPr="00735B57">
        <w:tc>
          <w:tcPr>
            <w:tcW w:w="4252" w:type="dxa"/>
          </w:tcPr>
          <w:p w:rsidR="009F178D" w:rsidRPr="00735B57" w:rsidRDefault="009F178D" w:rsidP="00C166A3">
            <w:pPr>
              <w:jc w:val="both"/>
              <w:rPr>
                <w:rFonts w:ascii="Arial" w:hAnsi="Arial" w:cs="Arial"/>
              </w:rPr>
            </w:pPr>
            <w:r w:rsidRPr="00735B57">
              <w:rPr>
                <w:rFonts w:ascii="Arial" w:hAnsi="Arial" w:cs="Arial"/>
              </w:rPr>
              <w:t>Entre 540 et 790</w:t>
            </w:r>
          </w:p>
        </w:tc>
        <w:tc>
          <w:tcPr>
            <w:tcW w:w="1739" w:type="dxa"/>
          </w:tcPr>
          <w:p w:rsidR="009F178D" w:rsidRPr="00735B57" w:rsidRDefault="009F178D" w:rsidP="00C166A3">
            <w:pPr>
              <w:jc w:val="both"/>
              <w:rPr>
                <w:rFonts w:ascii="Arial" w:hAnsi="Arial" w:cs="Arial"/>
              </w:rPr>
            </w:pPr>
            <w:r w:rsidRPr="00735B57">
              <w:rPr>
                <w:rFonts w:ascii="Arial" w:hAnsi="Arial" w:cs="Arial"/>
              </w:rPr>
              <w:t>65 000 €</w:t>
            </w:r>
          </w:p>
        </w:tc>
      </w:tr>
      <w:tr w:rsidR="009F178D" w:rsidRPr="00735B57">
        <w:tc>
          <w:tcPr>
            <w:tcW w:w="4252" w:type="dxa"/>
          </w:tcPr>
          <w:p w:rsidR="009F178D" w:rsidRPr="00735B57" w:rsidRDefault="009F178D" w:rsidP="00C166A3">
            <w:pPr>
              <w:jc w:val="both"/>
              <w:rPr>
                <w:rFonts w:ascii="Arial" w:hAnsi="Arial" w:cs="Arial"/>
              </w:rPr>
            </w:pPr>
            <w:r w:rsidRPr="00735B57">
              <w:rPr>
                <w:rFonts w:ascii="Arial" w:hAnsi="Arial" w:cs="Arial"/>
              </w:rPr>
              <w:t>Supérieur à 790</w:t>
            </w:r>
          </w:p>
        </w:tc>
        <w:tc>
          <w:tcPr>
            <w:tcW w:w="1739" w:type="dxa"/>
          </w:tcPr>
          <w:p w:rsidR="009F178D" w:rsidRPr="00735B57" w:rsidRDefault="009F178D" w:rsidP="00C166A3">
            <w:pPr>
              <w:jc w:val="both"/>
              <w:rPr>
                <w:rFonts w:ascii="Arial" w:hAnsi="Arial" w:cs="Arial"/>
              </w:rPr>
            </w:pPr>
            <w:r w:rsidRPr="00735B57">
              <w:rPr>
                <w:rFonts w:ascii="Arial" w:hAnsi="Arial" w:cs="Arial"/>
              </w:rPr>
              <w:t>87 000 €</w:t>
            </w:r>
            <w:bookmarkStart w:id="0" w:name="_GoBack"/>
            <w:bookmarkEnd w:id="0"/>
          </w:p>
        </w:tc>
      </w:tr>
    </w:tbl>
    <w:p w:rsidR="005227F5" w:rsidRDefault="005227F5" w:rsidP="009F178D">
      <w:pPr>
        <w:rPr>
          <w:rFonts w:ascii="Arial" w:hAnsi="Arial" w:cs="Arial"/>
          <w:b/>
          <w:sz w:val="22"/>
          <w:szCs w:val="22"/>
        </w:rPr>
      </w:pPr>
    </w:p>
    <w:p w:rsidR="009F178D" w:rsidRDefault="009F178D" w:rsidP="009F178D">
      <w:pPr>
        <w:pStyle w:val="Default"/>
        <w:jc w:val="both"/>
        <w:rPr>
          <w:rFonts w:eastAsia="MS Mincho"/>
          <w:color w:val="auto"/>
          <w:sz w:val="22"/>
          <w:szCs w:val="22"/>
          <w:lang w:eastAsia="ja-JP"/>
        </w:rPr>
      </w:pPr>
    </w:p>
    <w:p w:rsidR="000120ED" w:rsidRDefault="000120ED" w:rsidP="009F178D">
      <w:pPr>
        <w:pStyle w:val="Default"/>
        <w:jc w:val="both"/>
        <w:rPr>
          <w:rFonts w:eastAsia="MS Mincho"/>
          <w:color w:val="auto"/>
          <w:sz w:val="22"/>
          <w:szCs w:val="22"/>
          <w:lang w:eastAsia="ja-JP"/>
        </w:rPr>
      </w:pPr>
    </w:p>
    <w:p w:rsidR="009F178D" w:rsidRPr="00735B57" w:rsidRDefault="009F178D" w:rsidP="009F178D">
      <w:pPr>
        <w:rPr>
          <w:rFonts w:ascii="Arial" w:hAnsi="Arial" w:cs="Arial"/>
          <w:b/>
          <w:sz w:val="22"/>
          <w:szCs w:val="22"/>
        </w:rPr>
      </w:pPr>
      <w:r>
        <w:rPr>
          <w:rFonts w:ascii="Arial" w:hAnsi="Arial" w:cs="Arial"/>
          <w:b/>
          <w:sz w:val="22"/>
          <w:szCs w:val="22"/>
        </w:rPr>
        <w:t>La MIG</w:t>
      </w:r>
      <w:r w:rsidRPr="00735B57">
        <w:rPr>
          <w:rFonts w:ascii="Arial" w:hAnsi="Arial" w:cs="Arial"/>
          <w:b/>
          <w:sz w:val="22"/>
          <w:szCs w:val="22"/>
        </w:rPr>
        <w:t xml:space="preserve"> </w:t>
      </w:r>
      <w:r>
        <w:rPr>
          <w:rFonts w:ascii="Arial" w:hAnsi="Arial" w:cs="Arial"/>
          <w:b/>
          <w:sz w:val="22"/>
          <w:szCs w:val="22"/>
        </w:rPr>
        <w:t>« C</w:t>
      </w:r>
      <w:r w:rsidRPr="00735B57">
        <w:rPr>
          <w:rFonts w:ascii="Arial" w:hAnsi="Arial" w:cs="Arial"/>
          <w:b/>
          <w:sz w:val="22"/>
          <w:szCs w:val="22"/>
        </w:rPr>
        <w:t>oordonnateurs régionaux d'hémovigilance mentionnés aux articles R. 1221-32 à R. 1221-35 du code de la santé publique</w:t>
      </w:r>
      <w:r>
        <w:rPr>
          <w:rFonts w:ascii="Arial" w:hAnsi="Arial" w:cs="Arial"/>
          <w:b/>
          <w:sz w:val="22"/>
          <w:szCs w:val="22"/>
        </w:rPr>
        <w:t> »</w:t>
      </w:r>
    </w:p>
    <w:p w:rsidR="009F178D" w:rsidRPr="00735B57" w:rsidRDefault="009F178D" w:rsidP="009F178D">
      <w:pPr>
        <w:autoSpaceDE w:val="0"/>
        <w:autoSpaceDN w:val="0"/>
        <w:jc w:val="both"/>
        <w:rPr>
          <w:rFonts w:ascii="Arial" w:hAnsi="Arial" w:cs="Arial"/>
          <w:sz w:val="22"/>
          <w:szCs w:val="22"/>
        </w:rPr>
      </w:pPr>
    </w:p>
    <w:p w:rsidR="009F178D" w:rsidRDefault="009F178D" w:rsidP="009F178D">
      <w:pPr>
        <w:autoSpaceDE w:val="0"/>
        <w:autoSpaceDN w:val="0"/>
        <w:jc w:val="both"/>
        <w:rPr>
          <w:rFonts w:ascii="Arial" w:hAnsi="Arial" w:cs="Arial"/>
          <w:sz w:val="22"/>
          <w:szCs w:val="22"/>
        </w:rPr>
      </w:pPr>
      <w:r w:rsidRPr="00735B57">
        <w:rPr>
          <w:rFonts w:ascii="Arial" w:hAnsi="Arial" w:cs="Arial"/>
          <w:sz w:val="22"/>
          <w:szCs w:val="22"/>
        </w:rPr>
        <w:t xml:space="preserve">Cette MIG est modélisée à partir de données indirectes d’activité, basées sur le volume annuel de produits sanguins labiles (PSL) distribués dans la région, éventuellement pondéré par le nombre de dépôts de sang de la région. Elle finance les rémunérations d’équivalents temps plein (ETP) de CRH sur la base du statut de PH, le secrétariat et les frais de déplacements. </w:t>
      </w:r>
    </w:p>
    <w:p w:rsidR="006D0114" w:rsidRDefault="006D0114" w:rsidP="009F178D">
      <w:pPr>
        <w:autoSpaceDE w:val="0"/>
        <w:autoSpaceDN w:val="0"/>
        <w:jc w:val="both"/>
        <w:rPr>
          <w:rFonts w:ascii="Arial" w:hAnsi="Arial" w:cs="Arial"/>
          <w:sz w:val="22"/>
          <w:szCs w:val="22"/>
        </w:rPr>
      </w:pPr>
      <w:r w:rsidRPr="006D0114">
        <w:rPr>
          <w:rFonts w:ascii="Arial" w:hAnsi="Arial" w:cs="Arial"/>
          <w:b/>
          <w:sz w:val="22"/>
          <w:szCs w:val="22"/>
        </w:rPr>
        <w:t>5,47M€</w:t>
      </w:r>
      <w:r>
        <w:rPr>
          <w:rFonts w:ascii="Arial" w:hAnsi="Arial" w:cs="Arial"/>
          <w:sz w:val="22"/>
          <w:szCs w:val="22"/>
        </w:rPr>
        <w:t xml:space="preserve"> sont délégués </w:t>
      </w:r>
      <w:r w:rsidR="00584AEE">
        <w:rPr>
          <w:rFonts w:ascii="Arial" w:hAnsi="Arial" w:cs="Arial"/>
          <w:sz w:val="22"/>
          <w:szCs w:val="22"/>
        </w:rPr>
        <w:t xml:space="preserve">en MIG JPE </w:t>
      </w:r>
      <w:r>
        <w:rPr>
          <w:rFonts w:ascii="Arial" w:hAnsi="Arial" w:cs="Arial"/>
          <w:sz w:val="22"/>
          <w:szCs w:val="22"/>
        </w:rPr>
        <w:t xml:space="preserve">à ce titre par la présente circulaire. </w:t>
      </w:r>
    </w:p>
    <w:p w:rsidR="009F178D" w:rsidRDefault="009F178D" w:rsidP="009F178D">
      <w:pPr>
        <w:autoSpaceDE w:val="0"/>
        <w:autoSpaceDN w:val="0"/>
        <w:jc w:val="both"/>
        <w:rPr>
          <w:rFonts w:ascii="Arial" w:hAnsi="Arial" w:cs="Arial"/>
          <w:sz w:val="22"/>
          <w:szCs w:val="22"/>
        </w:rPr>
      </w:pPr>
    </w:p>
    <w:p w:rsidR="009F178D" w:rsidRPr="00735B57" w:rsidRDefault="009F178D" w:rsidP="009F178D">
      <w:pPr>
        <w:autoSpaceDE w:val="0"/>
        <w:autoSpaceDN w:val="0"/>
        <w:jc w:val="both"/>
        <w:rPr>
          <w:rFonts w:ascii="Arial" w:hAnsi="Arial" w:cs="Arial"/>
          <w:sz w:val="22"/>
          <w:szCs w:val="22"/>
        </w:rPr>
      </w:pPr>
      <w:r w:rsidRPr="00735B57">
        <w:rPr>
          <w:rFonts w:ascii="Arial" w:hAnsi="Arial" w:cs="Arial"/>
          <w:sz w:val="22"/>
          <w:szCs w:val="22"/>
        </w:rPr>
        <w:t>Le nombre d’ETP de CRH est basé sur les critères de répartition suivants :</w:t>
      </w:r>
    </w:p>
    <w:p w:rsidR="009F178D" w:rsidRPr="00735B57" w:rsidRDefault="009F178D" w:rsidP="009F178D">
      <w:pPr>
        <w:autoSpaceDE w:val="0"/>
        <w:autoSpaceDN w:val="0"/>
        <w:jc w:val="both"/>
        <w:rPr>
          <w:rFonts w:ascii="Arial" w:hAnsi="Arial" w:cs="Arial"/>
          <w:sz w:val="22"/>
          <w:szCs w:val="22"/>
        </w:rPr>
      </w:pPr>
    </w:p>
    <w:tbl>
      <w:tblPr>
        <w:tblStyle w:val="Grille"/>
        <w:tblW w:w="8995" w:type="dxa"/>
        <w:tblInd w:w="250" w:type="dxa"/>
        <w:tblLook w:val="04A0"/>
      </w:tblPr>
      <w:tblGrid>
        <w:gridCol w:w="2998"/>
        <w:gridCol w:w="2998"/>
        <w:gridCol w:w="2999"/>
      </w:tblGrid>
      <w:tr w:rsidR="009F178D" w:rsidRPr="00735B57">
        <w:tc>
          <w:tcPr>
            <w:tcW w:w="2998" w:type="dxa"/>
          </w:tcPr>
          <w:p w:rsidR="009F178D" w:rsidRPr="00735B57" w:rsidRDefault="009F178D" w:rsidP="00C166A3">
            <w:pPr>
              <w:autoSpaceDE w:val="0"/>
              <w:autoSpaceDN w:val="0"/>
              <w:jc w:val="both"/>
              <w:rPr>
                <w:rFonts w:ascii="Arial" w:hAnsi="Arial" w:cs="Arial"/>
              </w:rPr>
            </w:pPr>
            <w:r w:rsidRPr="00735B57">
              <w:rPr>
                <w:rFonts w:ascii="Arial" w:hAnsi="Arial" w:cs="Arial"/>
              </w:rPr>
              <w:t>Nombre d’ETP</w:t>
            </w:r>
          </w:p>
        </w:tc>
        <w:tc>
          <w:tcPr>
            <w:tcW w:w="2998" w:type="dxa"/>
          </w:tcPr>
          <w:p w:rsidR="009F178D" w:rsidRPr="00735B57" w:rsidRDefault="009F178D" w:rsidP="00C166A3">
            <w:pPr>
              <w:autoSpaceDE w:val="0"/>
              <w:autoSpaceDN w:val="0"/>
              <w:jc w:val="both"/>
              <w:rPr>
                <w:rFonts w:ascii="Arial" w:hAnsi="Arial" w:cs="Arial"/>
              </w:rPr>
            </w:pPr>
            <w:r w:rsidRPr="00735B57">
              <w:rPr>
                <w:rFonts w:ascii="Arial" w:hAnsi="Arial" w:cs="Arial"/>
              </w:rPr>
              <w:t>Volume de PSL distribué/an</w:t>
            </w:r>
          </w:p>
        </w:tc>
        <w:tc>
          <w:tcPr>
            <w:tcW w:w="2999" w:type="dxa"/>
          </w:tcPr>
          <w:p w:rsidR="009F178D" w:rsidRPr="00735B57" w:rsidRDefault="009F178D" w:rsidP="00C166A3">
            <w:pPr>
              <w:autoSpaceDE w:val="0"/>
              <w:autoSpaceDN w:val="0"/>
              <w:jc w:val="both"/>
              <w:rPr>
                <w:rFonts w:ascii="Arial" w:hAnsi="Arial" w:cs="Arial"/>
              </w:rPr>
            </w:pPr>
            <w:r w:rsidRPr="00735B57">
              <w:rPr>
                <w:rFonts w:ascii="Arial" w:hAnsi="Arial" w:cs="Arial"/>
              </w:rPr>
              <w:t>Nombre de dépôts de sang</w:t>
            </w:r>
          </w:p>
        </w:tc>
      </w:tr>
      <w:tr w:rsidR="009F178D" w:rsidRPr="00735B57">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0,5</w:t>
            </w:r>
          </w:p>
        </w:tc>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Moins de 100 000</w:t>
            </w:r>
          </w:p>
        </w:tc>
        <w:tc>
          <w:tcPr>
            <w:tcW w:w="2999"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Entre 0 et 15</w:t>
            </w:r>
          </w:p>
        </w:tc>
      </w:tr>
      <w:tr w:rsidR="009F178D" w:rsidRPr="00735B57">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1,0</w:t>
            </w:r>
          </w:p>
        </w:tc>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100 000 à 150 000</w:t>
            </w:r>
          </w:p>
        </w:tc>
        <w:tc>
          <w:tcPr>
            <w:tcW w:w="2999"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Entre 15 et 30</w:t>
            </w:r>
          </w:p>
        </w:tc>
      </w:tr>
      <w:tr w:rsidR="009F178D" w:rsidRPr="00735B57">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1,5</w:t>
            </w:r>
          </w:p>
        </w:tc>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150 000 à 200 000</w:t>
            </w:r>
          </w:p>
        </w:tc>
        <w:tc>
          <w:tcPr>
            <w:tcW w:w="2999"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Entre 30 et 40</w:t>
            </w:r>
          </w:p>
        </w:tc>
      </w:tr>
      <w:tr w:rsidR="009F178D" w:rsidRPr="00735B57">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2,0</w:t>
            </w:r>
          </w:p>
        </w:tc>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200 000 à 400 000</w:t>
            </w:r>
          </w:p>
        </w:tc>
        <w:tc>
          <w:tcPr>
            <w:tcW w:w="2999"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Entre 40 et 80</w:t>
            </w:r>
          </w:p>
        </w:tc>
      </w:tr>
      <w:tr w:rsidR="009F178D" w:rsidRPr="00735B57">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3,0</w:t>
            </w:r>
          </w:p>
        </w:tc>
        <w:tc>
          <w:tcPr>
            <w:tcW w:w="2998"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Plus de 400 000</w:t>
            </w:r>
          </w:p>
        </w:tc>
        <w:tc>
          <w:tcPr>
            <w:tcW w:w="2999" w:type="dxa"/>
            <w:vAlign w:val="center"/>
          </w:tcPr>
          <w:p w:rsidR="009F178D" w:rsidRPr="00735B57" w:rsidRDefault="009F178D" w:rsidP="00C166A3">
            <w:pPr>
              <w:autoSpaceDE w:val="0"/>
              <w:autoSpaceDN w:val="0"/>
              <w:jc w:val="both"/>
              <w:rPr>
                <w:rFonts w:ascii="Arial" w:hAnsi="Arial" w:cs="Arial"/>
              </w:rPr>
            </w:pPr>
            <w:r w:rsidRPr="00735B57">
              <w:rPr>
                <w:rFonts w:ascii="Arial" w:hAnsi="Arial" w:cs="Arial"/>
              </w:rPr>
              <w:t>Plus de 80</w:t>
            </w:r>
          </w:p>
        </w:tc>
      </w:tr>
    </w:tbl>
    <w:p w:rsidR="009F178D" w:rsidRPr="00735B57" w:rsidRDefault="009F178D" w:rsidP="009F178D">
      <w:pPr>
        <w:autoSpaceDE w:val="0"/>
        <w:autoSpaceDN w:val="0"/>
        <w:jc w:val="both"/>
        <w:rPr>
          <w:rFonts w:ascii="Arial" w:hAnsi="Arial" w:cs="Arial"/>
          <w:sz w:val="22"/>
          <w:szCs w:val="22"/>
        </w:rPr>
      </w:pPr>
    </w:p>
    <w:p w:rsidR="009F178D" w:rsidRDefault="009F178D" w:rsidP="009F178D">
      <w:pPr>
        <w:autoSpaceDE w:val="0"/>
        <w:autoSpaceDN w:val="0"/>
        <w:jc w:val="both"/>
        <w:rPr>
          <w:rFonts w:ascii="Arial" w:hAnsi="Arial" w:cs="Arial"/>
          <w:sz w:val="22"/>
          <w:szCs w:val="22"/>
        </w:rPr>
      </w:pPr>
      <w:r w:rsidRPr="00735B57">
        <w:rPr>
          <w:rFonts w:ascii="Arial" w:hAnsi="Arial" w:cs="Arial"/>
          <w:sz w:val="22"/>
          <w:szCs w:val="22"/>
        </w:rPr>
        <w:t>Des mesures de lissage sont intégrées sur la période 2014-2016, sous forme de maintien de la dotation à 1 ETP dans les régions qui passent de 1 à 0,5 ETP, pendant la durée restante à courir (maximum trois ans) de la décision de nomination du CRH arrêtée par le directeur général de l’ARS (art. R.1221-35 du CSP).</w:t>
      </w:r>
    </w:p>
    <w:p w:rsidR="009F178D" w:rsidRPr="00735B57" w:rsidRDefault="009F178D" w:rsidP="009F178D">
      <w:pPr>
        <w:autoSpaceDE w:val="0"/>
        <w:autoSpaceDN w:val="0"/>
        <w:jc w:val="both"/>
        <w:rPr>
          <w:rFonts w:ascii="Arial" w:hAnsi="Arial" w:cs="Arial"/>
          <w:sz w:val="22"/>
          <w:szCs w:val="22"/>
        </w:rPr>
      </w:pPr>
    </w:p>
    <w:p w:rsidR="009F178D" w:rsidRPr="00735B57" w:rsidRDefault="009F178D" w:rsidP="009F178D">
      <w:pPr>
        <w:autoSpaceDE w:val="0"/>
        <w:autoSpaceDN w:val="0"/>
        <w:jc w:val="both"/>
        <w:rPr>
          <w:rFonts w:ascii="Arial" w:hAnsi="Arial" w:cs="Arial"/>
          <w:sz w:val="22"/>
          <w:szCs w:val="22"/>
        </w:rPr>
      </w:pPr>
      <w:r w:rsidRPr="00735B57">
        <w:rPr>
          <w:rFonts w:ascii="Arial" w:hAnsi="Arial" w:cs="Arial"/>
          <w:sz w:val="22"/>
          <w:szCs w:val="22"/>
        </w:rPr>
        <w:t>Les critères d’attribution de ressources en secrétariat / assistants retenus sont de :</w:t>
      </w:r>
    </w:p>
    <w:p w:rsidR="009F178D" w:rsidRPr="00735B57" w:rsidRDefault="009F178D" w:rsidP="009F178D">
      <w:pPr>
        <w:autoSpaceDE w:val="0"/>
        <w:autoSpaceDN w:val="0"/>
        <w:ind w:left="708"/>
        <w:jc w:val="both"/>
        <w:rPr>
          <w:rFonts w:ascii="Arial" w:hAnsi="Arial" w:cs="Arial"/>
          <w:sz w:val="22"/>
          <w:szCs w:val="22"/>
        </w:rPr>
      </w:pPr>
      <w:r w:rsidRPr="00735B57">
        <w:rPr>
          <w:rFonts w:ascii="Arial" w:hAnsi="Arial" w:cs="Arial"/>
          <w:sz w:val="22"/>
          <w:szCs w:val="22"/>
        </w:rPr>
        <w:t>- 0,5 ETP secrétariat pour 0,5 ETP PH ;</w:t>
      </w:r>
    </w:p>
    <w:p w:rsidR="009F178D" w:rsidRPr="00735B57" w:rsidRDefault="009F178D" w:rsidP="009F178D">
      <w:pPr>
        <w:autoSpaceDE w:val="0"/>
        <w:autoSpaceDN w:val="0"/>
        <w:ind w:left="708"/>
        <w:jc w:val="both"/>
        <w:rPr>
          <w:rFonts w:ascii="Arial" w:hAnsi="Arial" w:cs="Arial"/>
          <w:sz w:val="22"/>
          <w:szCs w:val="22"/>
        </w:rPr>
      </w:pPr>
      <w:r w:rsidRPr="00735B57">
        <w:rPr>
          <w:rFonts w:ascii="Arial" w:hAnsi="Arial" w:cs="Arial"/>
          <w:sz w:val="22"/>
          <w:szCs w:val="22"/>
        </w:rPr>
        <w:t>- 1 ETP secrétariat pour 1 ETP PH ou plus.</w:t>
      </w:r>
    </w:p>
    <w:p w:rsidR="00E94EA6" w:rsidRDefault="00E94EA6" w:rsidP="009F178D">
      <w:pPr>
        <w:jc w:val="both"/>
        <w:rPr>
          <w:rFonts w:ascii="Arial" w:hAnsi="Arial" w:cs="Arial"/>
          <w:b/>
          <w:sz w:val="22"/>
          <w:szCs w:val="22"/>
        </w:rPr>
      </w:pPr>
    </w:p>
    <w:p w:rsidR="009F178D" w:rsidRPr="00735B57" w:rsidRDefault="009F178D" w:rsidP="009F178D">
      <w:pPr>
        <w:jc w:val="both"/>
        <w:rPr>
          <w:rFonts w:ascii="Arial" w:hAnsi="Arial" w:cs="Arial"/>
          <w:b/>
          <w:sz w:val="22"/>
          <w:szCs w:val="22"/>
        </w:rPr>
      </w:pPr>
      <w:r>
        <w:rPr>
          <w:rFonts w:ascii="Arial" w:hAnsi="Arial" w:cs="Arial"/>
          <w:b/>
          <w:sz w:val="22"/>
          <w:szCs w:val="22"/>
        </w:rPr>
        <w:t>La MIG « </w:t>
      </w:r>
      <w:r w:rsidR="0035376E">
        <w:rPr>
          <w:rFonts w:ascii="Arial" w:hAnsi="Arial" w:cs="Arial"/>
          <w:b/>
          <w:sz w:val="22"/>
          <w:szCs w:val="22"/>
        </w:rPr>
        <w:t>M</w:t>
      </w:r>
      <w:r w:rsidRPr="00735B57">
        <w:rPr>
          <w:rFonts w:ascii="Arial" w:hAnsi="Arial" w:cs="Arial"/>
          <w:b/>
          <w:sz w:val="22"/>
          <w:szCs w:val="22"/>
        </w:rPr>
        <w:t>ise en œuvre des missions des établ</w:t>
      </w:r>
      <w:r>
        <w:rPr>
          <w:rFonts w:ascii="Arial" w:hAnsi="Arial" w:cs="Arial"/>
          <w:b/>
          <w:sz w:val="22"/>
          <w:szCs w:val="22"/>
        </w:rPr>
        <w:t>issements de santé de référence »</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5B5935"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La MIG mise en œuvre des missions des établissements de référence reste inchangée. Ell</w:t>
      </w:r>
      <w:r w:rsidR="005B5935">
        <w:rPr>
          <w:rFonts w:ascii="Arial" w:hAnsi="Arial" w:cs="Arial"/>
          <w:color w:val="000000"/>
          <w:sz w:val="22"/>
          <w:szCs w:val="22"/>
        </w:rPr>
        <w:t>e est toutefois abondée de 0,14M</w:t>
      </w:r>
      <w:r>
        <w:rPr>
          <w:rFonts w:ascii="Arial" w:hAnsi="Arial" w:cs="Arial"/>
          <w:color w:val="000000"/>
          <w:sz w:val="22"/>
          <w:szCs w:val="22"/>
        </w:rPr>
        <w:t>€</w:t>
      </w:r>
      <w:r w:rsidRPr="00735B57">
        <w:rPr>
          <w:rFonts w:ascii="Arial" w:hAnsi="Arial" w:cs="Arial"/>
          <w:color w:val="000000"/>
          <w:sz w:val="22"/>
          <w:szCs w:val="22"/>
        </w:rPr>
        <w:t xml:space="preserve"> afin de financer une mission de coordination et d’animation nationale dans le domaine de la prise en charge du risque biologique. </w:t>
      </w:r>
      <w:r w:rsidR="005B5935">
        <w:rPr>
          <w:rFonts w:ascii="Arial" w:hAnsi="Arial" w:cs="Arial"/>
          <w:color w:val="000000"/>
          <w:sz w:val="22"/>
          <w:szCs w:val="22"/>
        </w:rPr>
        <w:t xml:space="preserve">Cette circulaire délègue ainsi </w:t>
      </w:r>
      <w:r w:rsidR="005B5935" w:rsidRPr="005B5935">
        <w:rPr>
          <w:rFonts w:ascii="Arial" w:hAnsi="Arial" w:cs="Arial"/>
          <w:b/>
          <w:color w:val="000000"/>
          <w:sz w:val="22"/>
          <w:szCs w:val="22"/>
        </w:rPr>
        <w:t>3,64M€</w:t>
      </w:r>
      <w:r w:rsidR="005B5935">
        <w:rPr>
          <w:rFonts w:ascii="Arial" w:hAnsi="Arial" w:cs="Arial"/>
          <w:color w:val="000000"/>
          <w:sz w:val="22"/>
          <w:szCs w:val="22"/>
        </w:rPr>
        <w:t xml:space="preserve"> </w:t>
      </w:r>
      <w:r w:rsidR="00614140">
        <w:rPr>
          <w:rFonts w:ascii="Arial" w:hAnsi="Arial" w:cs="Arial"/>
          <w:color w:val="000000"/>
          <w:sz w:val="22"/>
          <w:szCs w:val="22"/>
        </w:rPr>
        <w:t xml:space="preserve">en JPE </w:t>
      </w:r>
      <w:r w:rsidR="005B5935">
        <w:rPr>
          <w:rFonts w:ascii="Arial" w:hAnsi="Arial" w:cs="Arial"/>
          <w:color w:val="000000"/>
          <w:sz w:val="22"/>
          <w:szCs w:val="22"/>
        </w:rPr>
        <w:t xml:space="preserve">pour cet objet. </w:t>
      </w:r>
    </w:p>
    <w:p w:rsidR="005B5935" w:rsidRDefault="005B5935"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Il convient de noter par ailleurs que le financement des 2 ressources humaines affectées au centre civilo-militaire de formation et d’entrainement relatifs aux risques Nucléaire, Radiologique, Biologique et Chimique, basé à Aix-en-Provence, sera délégué en 2 ou 3ème circulaires à l’issue de la création officielle du centre.</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Relèvent d’un financement au titre de cette MIG :</w:t>
      </w:r>
    </w:p>
    <w:p w:rsidR="009F178D" w:rsidRPr="00735B57" w:rsidRDefault="009F178D" w:rsidP="009F178D">
      <w:pPr>
        <w:pStyle w:val="Paragraphedeliste"/>
        <w:numPr>
          <w:ilvl w:val="0"/>
          <w:numId w:val="2"/>
        </w:numPr>
        <w:autoSpaceDE w:val="0"/>
        <w:autoSpaceDN w:val="0"/>
        <w:adjustRightInd w:val="0"/>
        <w:snapToGrid w:val="0"/>
        <w:contextualSpacing/>
        <w:jc w:val="both"/>
        <w:rPr>
          <w:rFonts w:ascii="Arial" w:eastAsia="Times New Roman" w:hAnsi="Arial" w:cs="Arial"/>
          <w:color w:val="000000"/>
        </w:rPr>
      </w:pPr>
      <w:r w:rsidRPr="00735B57">
        <w:rPr>
          <w:rFonts w:ascii="Arial" w:eastAsia="Times New Roman" w:hAnsi="Arial" w:cs="Arial"/>
          <w:color w:val="000000"/>
        </w:rPr>
        <w:t xml:space="preserve">La rémunération, charges sociales, frais professionnels et avantages en nature des </w:t>
      </w:r>
      <w:r w:rsidRPr="00735B57">
        <w:rPr>
          <w:rFonts w:ascii="Arial" w:hAnsi="Arial" w:cs="Arial"/>
          <w:color w:val="000000"/>
        </w:rPr>
        <w:t>agents mis à disposition auprès des services de l’État ou de ses établissements publics chargés de la prévention et de la gestion des risques liés à des circonstances exceptionnelles ;</w:t>
      </w:r>
    </w:p>
    <w:p w:rsidR="009F178D" w:rsidRPr="00735B57" w:rsidRDefault="009F178D" w:rsidP="009F178D">
      <w:pPr>
        <w:pStyle w:val="Paragraphedeliste"/>
        <w:numPr>
          <w:ilvl w:val="0"/>
          <w:numId w:val="2"/>
        </w:numPr>
        <w:autoSpaceDE w:val="0"/>
        <w:autoSpaceDN w:val="0"/>
        <w:adjustRightInd w:val="0"/>
        <w:snapToGrid w:val="0"/>
        <w:contextualSpacing/>
        <w:jc w:val="both"/>
        <w:rPr>
          <w:rFonts w:ascii="Arial" w:eastAsia="Times New Roman" w:hAnsi="Arial" w:cs="Arial"/>
          <w:color w:val="000000"/>
        </w:rPr>
      </w:pPr>
      <w:r w:rsidRPr="00735B57">
        <w:rPr>
          <w:rFonts w:ascii="Arial" w:eastAsia="Times New Roman" w:hAnsi="Arial" w:cs="Arial"/>
          <w:color w:val="000000"/>
        </w:rPr>
        <w:t>Les actions de formation pour la gestion des situations sanitaires exceptionnelles.</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Afin de compenser ces charges de personnels assumées par les établissements de santé de référence au sens de l’article R.3131-9 du code de la santé publique un forfait de 270K€ est attribué à chacun de ces établissements (corrigé du coefficient géographique le cas échéant). Concrètement, ce forfait permet le financement d’une équipe de 3 ETP (1ETP de PH estimé à 110 000€, 1 ETP de pharmacien estimé à 100 000€ et 1 ETP de cadre de santé estimé à 60 000€).</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S’ajoute à cela :</w:t>
      </w:r>
    </w:p>
    <w:p w:rsidR="009F178D" w:rsidRPr="00735B57" w:rsidRDefault="009F178D" w:rsidP="009F178D">
      <w:pPr>
        <w:pStyle w:val="Paragraphedeliste"/>
        <w:numPr>
          <w:ilvl w:val="0"/>
          <w:numId w:val="2"/>
        </w:numPr>
        <w:autoSpaceDE w:val="0"/>
        <w:autoSpaceDN w:val="0"/>
        <w:adjustRightInd w:val="0"/>
        <w:snapToGrid w:val="0"/>
        <w:contextualSpacing/>
        <w:jc w:val="both"/>
        <w:rPr>
          <w:rFonts w:ascii="Arial" w:eastAsia="Times New Roman" w:hAnsi="Arial" w:cs="Arial"/>
          <w:color w:val="000000"/>
        </w:rPr>
      </w:pPr>
      <w:r w:rsidRPr="00735B57">
        <w:rPr>
          <w:rFonts w:ascii="Arial" w:eastAsia="Times New Roman" w:hAnsi="Arial" w:cs="Arial"/>
          <w:color w:val="000000"/>
        </w:rPr>
        <w:t>pour l’établissement de santé de référence de la zone Sud, 2 ETP supplémentaires (médecin et cadre de santé) qui seront mis à la disposition du centre de formation et d’entraînement dans le domaine NRBC situé à Aix en Provence ;</w:t>
      </w:r>
    </w:p>
    <w:p w:rsidR="009F178D" w:rsidRPr="00735B57" w:rsidRDefault="009F178D" w:rsidP="009F178D">
      <w:pPr>
        <w:pStyle w:val="Paragraphedeliste"/>
        <w:numPr>
          <w:ilvl w:val="0"/>
          <w:numId w:val="2"/>
        </w:numPr>
        <w:autoSpaceDE w:val="0"/>
        <w:autoSpaceDN w:val="0"/>
        <w:adjustRightInd w:val="0"/>
        <w:snapToGrid w:val="0"/>
        <w:contextualSpacing/>
        <w:jc w:val="both"/>
        <w:rPr>
          <w:rFonts w:ascii="Arial" w:eastAsia="Times New Roman" w:hAnsi="Arial" w:cs="Arial"/>
          <w:color w:val="000000"/>
        </w:rPr>
      </w:pPr>
      <w:r w:rsidRPr="00735B57">
        <w:rPr>
          <w:rFonts w:ascii="Arial" w:eastAsia="Times New Roman" w:hAnsi="Arial" w:cs="Arial"/>
          <w:color w:val="000000"/>
        </w:rPr>
        <w:t>pour l’établissement de santé de référence de la zone Ile de France, 2 ETP supplémentaires (1 ETP de PH et 1ETP de cadre de santé) pour la coordination et l’animation d’une mission nationale sur le risque biologique émergent dont les modalités feront l’objet d’une convention spécifique avec l’établissement concerné.</w:t>
      </w:r>
    </w:p>
    <w:p w:rsidR="009F178D" w:rsidRDefault="009F178D" w:rsidP="009F178D">
      <w:pPr>
        <w:pStyle w:val="Default"/>
        <w:jc w:val="both"/>
        <w:rPr>
          <w:rFonts w:eastAsia="MS Mincho"/>
          <w:color w:val="auto"/>
          <w:sz w:val="22"/>
          <w:szCs w:val="22"/>
          <w:lang w:eastAsia="ja-JP"/>
        </w:rPr>
      </w:pPr>
    </w:p>
    <w:p w:rsidR="009F178D" w:rsidRDefault="009F178D" w:rsidP="009F178D">
      <w:pPr>
        <w:pStyle w:val="Default"/>
        <w:jc w:val="both"/>
        <w:rPr>
          <w:rFonts w:eastAsia="MS Mincho"/>
          <w:color w:val="auto"/>
          <w:sz w:val="22"/>
          <w:szCs w:val="22"/>
          <w:lang w:eastAsia="ja-JP"/>
        </w:rPr>
      </w:pPr>
    </w:p>
    <w:p w:rsidR="009F178D" w:rsidRPr="00735B57" w:rsidRDefault="00290B39" w:rsidP="009F178D">
      <w:pPr>
        <w:jc w:val="both"/>
        <w:rPr>
          <w:rFonts w:ascii="Arial" w:hAnsi="Arial" w:cs="Arial"/>
          <w:b/>
          <w:sz w:val="22"/>
          <w:szCs w:val="22"/>
        </w:rPr>
      </w:pPr>
      <w:r>
        <w:rPr>
          <w:rFonts w:ascii="Arial" w:hAnsi="Arial" w:cs="Arial"/>
          <w:b/>
          <w:sz w:val="22"/>
          <w:szCs w:val="22"/>
        </w:rPr>
        <w:t>La MIG « </w:t>
      </w:r>
      <w:r w:rsidR="0035376E">
        <w:rPr>
          <w:rFonts w:ascii="Arial" w:hAnsi="Arial" w:cs="Arial"/>
          <w:b/>
          <w:sz w:val="22"/>
          <w:szCs w:val="22"/>
        </w:rPr>
        <w:t>A</w:t>
      </w:r>
      <w:r w:rsidR="009F178D" w:rsidRPr="00735B57">
        <w:rPr>
          <w:rFonts w:ascii="Arial" w:hAnsi="Arial" w:cs="Arial"/>
          <w:b/>
          <w:sz w:val="22"/>
          <w:szCs w:val="22"/>
        </w:rPr>
        <w:t>cquisition et la maintenance des moyens zonaux des établissements de santé pour la gestion des risques liés à des circonstances e</w:t>
      </w:r>
      <w:r w:rsidR="009F178D">
        <w:rPr>
          <w:rFonts w:ascii="Arial" w:hAnsi="Arial" w:cs="Arial"/>
          <w:b/>
          <w:sz w:val="22"/>
          <w:szCs w:val="22"/>
        </w:rPr>
        <w:t>xceptionnelles »</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 xml:space="preserve">Le périmètre de la MIG dédiée à l’acquisition et la maintenance des moyens zonaux des établissements de santé pour la gestion des risques liés à des circonstances exceptionnelles a évolué. </w:t>
      </w:r>
      <w:r w:rsidR="00BD7DCF">
        <w:rPr>
          <w:rFonts w:ascii="Arial" w:hAnsi="Arial" w:cs="Arial"/>
          <w:color w:val="000000"/>
          <w:sz w:val="22"/>
          <w:szCs w:val="22"/>
        </w:rPr>
        <w:t>Il</w:t>
      </w:r>
      <w:r w:rsidRPr="00735B57">
        <w:rPr>
          <w:rFonts w:ascii="Arial" w:hAnsi="Arial" w:cs="Arial"/>
          <w:color w:val="000000"/>
          <w:sz w:val="22"/>
          <w:szCs w:val="22"/>
        </w:rPr>
        <w:t xml:space="preserve"> eng</w:t>
      </w:r>
      <w:r w:rsidR="00DA3B17">
        <w:rPr>
          <w:rFonts w:ascii="Arial" w:hAnsi="Arial" w:cs="Arial"/>
          <w:color w:val="000000"/>
          <w:sz w:val="22"/>
          <w:szCs w:val="22"/>
        </w:rPr>
        <w:t>l</w:t>
      </w:r>
      <w:r w:rsidRPr="00735B57">
        <w:rPr>
          <w:rFonts w:ascii="Arial" w:hAnsi="Arial" w:cs="Arial"/>
          <w:color w:val="000000"/>
          <w:sz w:val="22"/>
          <w:szCs w:val="22"/>
        </w:rPr>
        <w:t>obe désormais l’ensemble des moyens détenus par les établissements de santé notamment les postes sanitaires mobiles de 1er niveau et les équipements de protection pour les risques NRBC (le financement de ces matériels étaient intégrés lors de la précédente campagne respectivement au sein des MIG SAMU et SMUR). La modélisation de cette MIG a été réalisée sur la  base des éléments définis au sein du guide MIG.</w:t>
      </w:r>
      <w:r w:rsidR="004E7E48">
        <w:rPr>
          <w:rFonts w:ascii="Arial" w:hAnsi="Arial" w:cs="Arial"/>
          <w:color w:val="000000"/>
          <w:sz w:val="22"/>
          <w:szCs w:val="22"/>
        </w:rPr>
        <w:t xml:space="preserve"> La présente circulaire délègue </w:t>
      </w:r>
      <w:r w:rsidR="004E7E48" w:rsidRPr="004E7E48">
        <w:rPr>
          <w:rFonts w:ascii="Arial" w:hAnsi="Arial" w:cs="Arial"/>
          <w:b/>
          <w:color w:val="000000"/>
          <w:sz w:val="22"/>
          <w:szCs w:val="22"/>
        </w:rPr>
        <w:t>12,49M€</w:t>
      </w:r>
      <w:r w:rsidR="004E7E48">
        <w:rPr>
          <w:rFonts w:ascii="Arial" w:hAnsi="Arial" w:cs="Arial"/>
          <w:color w:val="000000"/>
          <w:sz w:val="22"/>
          <w:szCs w:val="22"/>
        </w:rPr>
        <w:t xml:space="preserve"> </w:t>
      </w:r>
      <w:r w:rsidR="00614140">
        <w:rPr>
          <w:rFonts w:ascii="Arial" w:hAnsi="Arial" w:cs="Arial"/>
          <w:color w:val="000000"/>
          <w:sz w:val="22"/>
          <w:szCs w:val="22"/>
        </w:rPr>
        <w:t xml:space="preserve">de MIG JPE </w:t>
      </w:r>
      <w:r w:rsidR="004E7E48">
        <w:rPr>
          <w:rFonts w:ascii="Arial" w:hAnsi="Arial" w:cs="Arial"/>
          <w:color w:val="000000"/>
          <w:sz w:val="22"/>
          <w:szCs w:val="22"/>
        </w:rPr>
        <w:t xml:space="preserve">à ce titre. </w:t>
      </w:r>
    </w:p>
    <w:p w:rsidR="009F178D" w:rsidRPr="00735B57" w:rsidRDefault="009F178D" w:rsidP="009F178D">
      <w:pPr>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Cette MIG couvre désormais le financement de l’ensemble des matériels et équipements détenus par les établissements de santé ayant vocation à être utilisés pour répondre à une situation sanitaire exceptionnelle. Ces moyens ont vocation à être identifié au sein du plan zonal de mobilisation et le cas échéant, mobilisé au niveau zonal.</w:t>
      </w:r>
    </w:p>
    <w:p w:rsidR="009F178D"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Sont notamment visés :</w:t>
      </w:r>
    </w:p>
    <w:p w:rsidR="009F178D" w:rsidRPr="00735B57" w:rsidRDefault="009F178D" w:rsidP="009F178D">
      <w:pPr>
        <w:pStyle w:val="Paragraphedeliste"/>
        <w:numPr>
          <w:ilvl w:val="0"/>
          <w:numId w:val="3"/>
        </w:numPr>
        <w:autoSpaceDE w:val="0"/>
        <w:autoSpaceDN w:val="0"/>
        <w:adjustRightInd w:val="0"/>
        <w:snapToGrid w:val="0"/>
        <w:contextualSpacing/>
        <w:jc w:val="both"/>
        <w:rPr>
          <w:rFonts w:ascii="Arial" w:eastAsia="MS Mincho" w:hAnsi="Arial" w:cs="Arial"/>
          <w:color w:val="000000"/>
          <w:lang w:eastAsia="ja-JP"/>
        </w:rPr>
      </w:pPr>
      <w:r w:rsidRPr="00735B57">
        <w:rPr>
          <w:rFonts w:ascii="Arial" w:eastAsia="MS Mincho" w:hAnsi="Arial" w:cs="Arial"/>
          <w:color w:val="000000"/>
          <w:lang w:eastAsia="ja-JP"/>
        </w:rPr>
        <w:t>Les postes sanitaires mobiles de premier niveau (PSM 1) et de deuxième niveau (PSM2), ainsi que les équipements logistiques associé</w:t>
      </w:r>
      <w:r>
        <w:rPr>
          <w:rFonts w:ascii="Arial" w:eastAsia="MS Mincho" w:hAnsi="Arial" w:cs="Arial"/>
          <w:color w:val="000000"/>
          <w:lang w:eastAsia="ja-JP"/>
        </w:rPr>
        <w:t>s (remorque, tente, lot radio…)</w:t>
      </w:r>
      <w:r w:rsidRPr="00735B57">
        <w:rPr>
          <w:rFonts w:ascii="Arial" w:eastAsia="MS Mincho" w:hAnsi="Arial" w:cs="Arial"/>
          <w:color w:val="000000"/>
          <w:lang w:eastAsia="ja-JP"/>
        </w:rPr>
        <w:t>;</w:t>
      </w:r>
    </w:p>
    <w:p w:rsidR="009F178D" w:rsidRPr="00735B57" w:rsidRDefault="009F178D" w:rsidP="009F178D">
      <w:pPr>
        <w:pStyle w:val="Paragraphedeliste"/>
        <w:numPr>
          <w:ilvl w:val="0"/>
          <w:numId w:val="3"/>
        </w:numPr>
        <w:autoSpaceDE w:val="0"/>
        <w:autoSpaceDN w:val="0"/>
        <w:adjustRightInd w:val="0"/>
        <w:snapToGrid w:val="0"/>
        <w:contextualSpacing/>
        <w:jc w:val="both"/>
        <w:rPr>
          <w:rFonts w:ascii="Arial" w:eastAsia="MS Mincho" w:hAnsi="Arial" w:cs="Arial"/>
          <w:color w:val="000000"/>
          <w:lang w:eastAsia="ja-JP"/>
        </w:rPr>
      </w:pPr>
      <w:r w:rsidRPr="00735B57">
        <w:rPr>
          <w:rFonts w:ascii="Arial" w:eastAsia="MS Mincho" w:hAnsi="Arial" w:cs="Arial"/>
          <w:color w:val="000000"/>
          <w:lang w:eastAsia="ja-JP"/>
        </w:rPr>
        <w:t>Les équipements pour la prise en charge des victimes de risques NRBC (respirateurs, unité mobile de décontamination) ;</w:t>
      </w:r>
    </w:p>
    <w:p w:rsidR="009F178D" w:rsidRPr="00735B57" w:rsidRDefault="009F178D" w:rsidP="009F178D">
      <w:pPr>
        <w:pStyle w:val="Paragraphedeliste"/>
        <w:numPr>
          <w:ilvl w:val="0"/>
          <w:numId w:val="3"/>
        </w:numPr>
        <w:autoSpaceDE w:val="0"/>
        <w:autoSpaceDN w:val="0"/>
        <w:adjustRightInd w:val="0"/>
        <w:snapToGrid w:val="0"/>
        <w:contextualSpacing/>
        <w:jc w:val="both"/>
        <w:rPr>
          <w:rFonts w:ascii="Arial" w:eastAsia="MS Mincho" w:hAnsi="Arial" w:cs="Arial"/>
          <w:color w:val="000000"/>
          <w:lang w:eastAsia="ja-JP"/>
        </w:rPr>
      </w:pPr>
      <w:r w:rsidRPr="00735B57">
        <w:rPr>
          <w:rFonts w:ascii="Arial" w:eastAsia="MS Mincho" w:hAnsi="Arial" w:cs="Arial"/>
          <w:color w:val="000000"/>
          <w:lang w:eastAsia="ja-JP"/>
        </w:rPr>
        <w:t>Les équipements de protection aux risques NRBC des professionnels de santé et des personnels en charge de la protection de l’hôpital</w:t>
      </w:r>
      <w:r>
        <w:rPr>
          <w:rFonts w:ascii="Arial" w:eastAsia="MS Mincho" w:hAnsi="Arial" w:cs="Arial"/>
          <w:color w:val="000000"/>
          <w:lang w:eastAsia="ja-JP"/>
        </w:rPr>
        <w:t xml:space="preserve">. </w:t>
      </w:r>
    </w:p>
    <w:p w:rsidR="009F178D" w:rsidRPr="00735B57" w:rsidRDefault="009F178D" w:rsidP="009F178D">
      <w:pPr>
        <w:autoSpaceDE w:val="0"/>
        <w:autoSpaceDN w:val="0"/>
        <w:adjustRightInd w:val="0"/>
        <w:snapToGrid w:val="0"/>
        <w:ind w:left="360"/>
        <w:rPr>
          <w:rFonts w:ascii="Arial" w:hAnsi="Arial" w:cs="Arial"/>
          <w:color w:val="000000"/>
          <w:sz w:val="22"/>
          <w:szCs w:val="22"/>
        </w:rPr>
      </w:pPr>
    </w:p>
    <w:p w:rsidR="009F178D" w:rsidRPr="00735B57" w:rsidRDefault="009F178D" w:rsidP="009F178D">
      <w:pPr>
        <w:autoSpaceDE w:val="0"/>
        <w:autoSpaceDN w:val="0"/>
        <w:adjustRightInd w:val="0"/>
        <w:snapToGrid w:val="0"/>
        <w:ind w:left="360"/>
        <w:rPr>
          <w:rFonts w:ascii="Arial" w:hAnsi="Arial" w:cs="Arial"/>
          <w:color w:val="000000"/>
          <w:sz w:val="22"/>
          <w:szCs w:val="22"/>
        </w:rPr>
      </w:pPr>
      <w:r w:rsidRPr="00735B57">
        <w:rPr>
          <w:rFonts w:ascii="Arial" w:hAnsi="Arial" w:cs="Arial"/>
          <w:color w:val="000000"/>
          <w:sz w:val="22"/>
          <w:szCs w:val="22"/>
        </w:rPr>
        <w:t>Equipement / Montants par équipement :</w:t>
      </w:r>
    </w:p>
    <w:p w:rsidR="009F178D" w:rsidRPr="00735B57" w:rsidRDefault="009F178D" w:rsidP="009F178D">
      <w:pPr>
        <w:pStyle w:val="Paragraphedeliste"/>
        <w:numPr>
          <w:ilvl w:val="0"/>
          <w:numId w:val="3"/>
        </w:numPr>
        <w:autoSpaceDE w:val="0"/>
        <w:autoSpaceDN w:val="0"/>
        <w:adjustRightInd w:val="0"/>
        <w:snapToGrid w:val="0"/>
        <w:contextualSpacing/>
        <w:rPr>
          <w:rFonts w:ascii="Arial" w:eastAsia="MS Mincho" w:hAnsi="Arial" w:cs="Arial"/>
          <w:color w:val="000000"/>
          <w:lang w:eastAsia="ja-JP"/>
        </w:rPr>
      </w:pPr>
      <w:r w:rsidRPr="00735B57">
        <w:rPr>
          <w:rFonts w:ascii="Arial" w:eastAsia="MS Mincho" w:hAnsi="Arial" w:cs="Arial"/>
          <w:color w:val="000000"/>
          <w:lang w:eastAsia="ja-JP"/>
        </w:rPr>
        <w:t>PSM 1  : 20 000€</w:t>
      </w:r>
    </w:p>
    <w:p w:rsidR="009F178D" w:rsidRPr="00735B57" w:rsidRDefault="009F178D" w:rsidP="009F178D">
      <w:pPr>
        <w:pStyle w:val="Paragraphedeliste"/>
        <w:numPr>
          <w:ilvl w:val="0"/>
          <w:numId w:val="3"/>
        </w:numPr>
        <w:autoSpaceDE w:val="0"/>
        <w:autoSpaceDN w:val="0"/>
        <w:adjustRightInd w:val="0"/>
        <w:snapToGrid w:val="0"/>
        <w:contextualSpacing/>
        <w:rPr>
          <w:rFonts w:ascii="Arial" w:eastAsia="MS Mincho" w:hAnsi="Arial" w:cs="Arial"/>
          <w:color w:val="000000"/>
          <w:lang w:eastAsia="ja-JP"/>
        </w:rPr>
      </w:pPr>
      <w:r w:rsidRPr="00735B57">
        <w:rPr>
          <w:rFonts w:ascii="Arial" w:eastAsia="MS Mincho" w:hAnsi="Arial" w:cs="Arial"/>
          <w:color w:val="000000"/>
          <w:lang w:eastAsia="ja-JP"/>
        </w:rPr>
        <w:t>PSM 2 complet : 120 000€</w:t>
      </w:r>
    </w:p>
    <w:p w:rsidR="009F178D" w:rsidRPr="00735B57" w:rsidRDefault="009F178D" w:rsidP="009F178D">
      <w:pPr>
        <w:pStyle w:val="Paragraphedeliste"/>
        <w:numPr>
          <w:ilvl w:val="0"/>
          <w:numId w:val="3"/>
        </w:numPr>
        <w:autoSpaceDE w:val="0"/>
        <w:autoSpaceDN w:val="0"/>
        <w:adjustRightInd w:val="0"/>
        <w:snapToGrid w:val="0"/>
        <w:contextualSpacing/>
        <w:rPr>
          <w:rFonts w:ascii="Arial" w:eastAsia="MS Mincho" w:hAnsi="Arial" w:cs="Arial"/>
          <w:color w:val="000000"/>
          <w:lang w:eastAsia="ja-JP"/>
        </w:rPr>
      </w:pPr>
      <w:r w:rsidRPr="00735B57">
        <w:rPr>
          <w:rFonts w:ascii="Arial" w:eastAsia="MS Mincho" w:hAnsi="Arial" w:cs="Arial"/>
          <w:color w:val="000000"/>
          <w:lang w:eastAsia="ja-JP"/>
        </w:rPr>
        <w:t>PSM 2 sans lot radio : 100 000€</w:t>
      </w:r>
    </w:p>
    <w:p w:rsidR="009F178D" w:rsidRPr="00735B57" w:rsidRDefault="009F178D" w:rsidP="009F178D">
      <w:pPr>
        <w:pStyle w:val="Paragraphedeliste"/>
        <w:numPr>
          <w:ilvl w:val="0"/>
          <w:numId w:val="3"/>
        </w:numPr>
        <w:autoSpaceDE w:val="0"/>
        <w:autoSpaceDN w:val="0"/>
        <w:adjustRightInd w:val="0"/>
        <w:snapToGrid w:val="0"/>
        <w:contextualSpacing/>
        <w:rPr>
          <w:rFonts w:ascii="Arial" w:eastAsia="MS Mincho" w:hAnsi="Arial" w:cs="Arial"/>
          <w:color w:val="000000"/>
          <w:lang w:eastAsia="ja-JP"/>
        </w:rPr>
      </w:pPr>
      <w:r w:rsidRPr="00735B57">
        <w:rPr>
          <w:rFonts w:ascii="Arial" w:eastAsia="MS Mincho" w:hAnsi="Arial" w:cs="Arial"/>
          <w:color w:val="000000"/>
          <w:lang w:eastAsia="ja-JP"/>
        </w:rPr>
        <w:t>Respirateur mobile : 300€</w:t>
      </w:r>
    </w:p>
    <w:p w:rsidR="009F178D" w:rsidRPr="00735B57" w:rsidRDefault="009F178D" w:rsidP="009F178D">
      <w:pPr>
        <w:pStyle w:val="Paragraphedeliste"/>
        <w:numPr>
          <w:ilvl w:val="0"/>
          <w:numId w:val="3"/>
        </w:numPr>
        <w:autoSpaceDE w:val="0"/>
        <w:autoSpaceDN w:val="0"/>
        <w:adjustRightInd w:val="0"/>
        <w:snapToGrid w:val="0"/>
        <w:contextualSpacing/>
        <w:rPr>
          <w:rFonts w:ascii="Arial" w:eastAsia="MS Mincho" w:hAnsi="Arial" w:cs="Arial"/>
          <w:color w:val="000000"/>
          <w:lang w:eastAsia="ja-JP"/>
        </w:rPr>
      </w:pPr>
      <w:r w:rsidRPr="00735B57">
        <w:rPr>
          <w:rFonts w:ascii="Arial" w:eastAsia="MS Mincho" w:hAnsi="Arial" w:cs="Arial"/>
          <w:color w:val="000000"/>
          <w:lang w:eastAsia="ja-JP"/>
        </w:rPr>
        <w:t>Unité décontamination mobile : 5 000€</w:t>
      </w:r>
    </w:p>
    <w:p w:rsidR="009F178D" w:rsidRPr="00735B57" w:rsidRDefault="009F178D" w:rsidP="009F178D">
      <w:pPr>
        <w:pStyle w:val="Paragraphedeliste"/>
        <w:numPr>
          <w:ilvl w:val="0"/>
          <w:numId w:val="3"/>
        </w:numPr>
        <w:autoSpaceDE w:val="0"/>
        <w:autoSpaceDN w:val="0"/>
        <w:adjustRightInd w:val="0"/>
        <w:snapToGrid w:val="0"/>
        <w:contextualSpacing/>
        <w:rPr>
          <w:rFonts w:ascii="Arial" w:eastAsia="MS Mincho" w:hAnsi="Arial" w:cs="Arial"/>
          <w:color w:val="000000"/>
          <w:lang w:eastAsia="ja-JP"/>
        </w:rPr>
      </w:pPr>
      <w:r w:rsidRPr="00735B57">
        <w:rPr>
          <w:rFonts w:ascii="Arial" w:eastAsia="MS Mincho" w:hAnsi="Arial" w:cs="Arial"/>
          <w:color w:val="000000"/>
          <w:lang w:eastAsia="ja-JP"/>
        </w:rPr>
        <w:t>Equipement de protection (intervention / protection de l’hôpital) : 560€ (tenues, masques, cartouches, dosimètre, gants, surbottes, etc.)</w:t>
      </w:r>
    </w:p>
    <w:p w:rsidR="009A5806" w:rsidRDefault="009A5806" w:rsidP="009F178D">
      <w:pPr>
        <w:autoSpaceDE w:val="0"/>
        <w:autoSpaceDN w:val="0"/>
        <w:adjustRightInd w:val="0"/>
        <w:snapToGrid w:val="0"/>
        <w:jc w:val="both"/>
        <w:rPr>
          <w:rFonts w:ascii="Arial" w:hAnsi="Arial" w:cs="Arial"/>
          <w:b/>
          <w:sz w:val="22"/>
          <w:szCs w:val="22"/>
        </w:rPr>
      </w:pPr>
    </w:p>
    <w:p w:rsidR="009A5806" w:rsidRDefault="009A5806" w:rsidP="009F178D">
      <w:pPr>
        <w:autoSpaceDE w:val="0"/>
        <w:autoSpaceDN w:val="0"/>
        <w:adjustRightInd w:val="0"/>
        <w:snapToGrid w:val="0"/>
        <w:jc w:val="both"/>
        <w:rPr>
          <w:rFonts w:ascii="Arial" w:hAnsi="Arial" w:cs="Arial"/>
          <w:b/>
          <w:sz w:val="22"/>
          <w:szCs w:val="22"/>
        </w:rPr>
      </w:pPr>
    </w:p>
    <w:p w:rsidR="009F178D" w:rsidRPr="00735B57" w:rsidRDefault="009F178D" w:rsidP="009F178D">
      <w:pPr>
        <w:autoSpaceDE w:val="0"/>
        <w:autoSpaceDN w:val="0"/>
        <w:adjustRightInd w:val="0"/>
        <w:snapToGrid w:val="0"/>
        <w:jc w:val="both"/>
        <w:rPr>
          <w:rFonts w:ascii="Arial" w:hAnsi="Arial" w:cs="Arial"/>
          <w:b/>
          <w:sz w:val="22"/>
          <w:szCs w:val="22"/>
        </w:rPr>
      </w:pPr>
      <w:r>
        <w:rPr>
          <w:rFonts w:ascii="Arial" w:hAnsi="Arial" w:cs="Arial"/>
          <w:b/>
          <w:sz w:val="22"/>
          <w:szCs w:val="22"/>
        </w:rPr>
        <w:t>La MIG « C</w:t>
      </w:r>
      <w:r w:rsidRPr="00735B57">
        <w:rPr>
          <w:rFonts w:ascii="Arial" w:hAnsi="Arial" w:cs="Arial"/>
          <w:b/>
          <w:sz w:val="22"/>
          <w:szCs w:val="22"/>
        </w:rPr>
        <w:t>entres pluridisciplinaires de diagnostic prénatal</w:t>
      </w:r>
      <w:r>
        <w:rPr>
          <w:rFonts w:ascii="Arial" w:hAnsi="Arial" w:cs="Arial"/>
          <w:b/>
          <w:sz w:val="22"/>
          <w:szCs w:val="22"/>
        </w:rPr>
        <w:t> »</w:t>
      </w:r>
      <w:r w:rsidRPr="00735B57">
        <w:rPr>
          <w:rFonts w:ascii="Arial" w:hAnsi="Arial" w:cs="Arial"/>
          <w:b/>
          <w:sz w:val="22"/>
          <w:szCs w:val="22"/>
        </w:rPr>
        <w:t xml:space="preserve"> (CPDPN)</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722402"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Le nouveau modèle de financement, élaboré en concertation avec l’ABM et la fédération des CPDPN, prévoit une répartition des centres en 5 classes déterminées à partir des rapports annuels d’activité de chaque centre (RAA) transmis à l’ABM (article L. 2131-2 du C</w:t>
      </w:r>
      <w:r>
        <w:rPr>
          <w:rFonts w:ascii="Arial" w:hAnsi="Arial" w:cs="Arial"/>
          <w:color w:val="000000"/>
          <w:sz w:val="22"/>
          <w:szCs w:val="22"/>
        </w:rPr>
        <w:t>SP</w:t>
      </w:r>
      <w:r w:rsidRPr="00735B57">
        <w:rPr>
          <w:rFonts w:ascii="Arial" w:hAnsi="Arial" w:cs="Arial"/>
          <w:color w:val="000000"/>
          <w:sz w:val="22"/>
          <w:szCs w:val="22"/>
        </w:rPr>
        <w:t xml:space="preserve">). </w:t>
      </w:r>
      <w:r w:rsidR="009F178D" w:rsidRPr="00735B57">
        <w:rPr>
          <w:rFonts w:ascii="Arial" w:hAnsi="Arial" w:cs="Arial"/>
          <w:color w:val="000000"/>
          <w:sz w:val="22"/>
          <w:szCs w:val="22"/>
        </w:rPr>
        <w:t xml:space="preserve">Ces classes, définies en fonction du volume d’activité et de critères de complexité des dossiers traités, permettent de déterminer le montant de la dotation MERRI de chaque centre (fléchage par établissement impératif). </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 xml:space="preserve">Les dotations sont définies pour 2014 à partir des données des RAA disponibles, soit celles de 2011. </w:t>
      </w:r>
      <w:r w:rsidR="00AB6B0B">
        <w:rPr>
          <w:rFonts w:ascii="Arial" w:hAnsi="Arial" w:cs="Arial"/>
          <w:color w:val="000000"/>
          <w:sz w:val="22"/>
          <w:szCs w:val="22"/>
        </w:rPr>
        <w:t xml:space="preserve">Cette circulaire alloue </w:t>
      </w:r>
      <w:r w:rsidR="00AB6B0B" w:rsidRPr="00B679E3">
        <w:rPr>
          <w:rFonts w:ascii="Arial" w:hAnsi="Arial" w:cs="Arial"/>
          <w:b/>
          <w:color w:val="000000"/>
          <w:sz w:val="22"/>
          <w:szCs w:val="22"/>
        </w:rPr>
        <w:t>15,48M€</w:t>
      </w:r>
      <w:r w:rsidR="00AB6B0B">
        <w:rPr>
          <w:rFonts w:ascii="Arial" w:hAnsi="Arial" w:cs="Arial"/>
          <w:color w:val="000000"/>
          <w:sz w:val="22"/>
          <w:szCs w:val="22"/>
        </w:rPr>
        <w:t xml:space="preserve"> </w:t>
      </w:r>
      <w:r w:rsidR="00CD3F7B">
        <w:rPr>
          <w:rFonts w:ascii="Arial" w:hAnsi="Arial" w:cs="Arial"/>
          <w:color w:val="000000"/>
          <w:sz w:val="22"/>
          <w:szCs w:val="22"/>
        </w:rPr>
        <w:t xml:space="preserve">de dotations en MIG JPE </w:t>
      </w:r>
      <w:r w:rsidR="00AB6B0B">
        <w:rPr>
          <w:rFonts w:ascii="Arial" w:hAnsi="Arial" w:cs="Arial"/>
          <w:color w:val="000000"/>
          <w:sz w:val="22"/>
          <w:szCs w:val="22"/>
        </w:rPr>
        <w:t xml:space="preserve">à destination de ces centres. </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Le classement des centres est réalisé à partir des 5 items ci-dessous déclarés dans le RAA :</w:t>
      </w:r>
      <w:r>
        <w:rPr>
          <w:rFonts w:ascii="Arial" w:hAnsi="Arial" w:cs="Arial"/>
          <w:color w:val="000000"/>
          <w:sz w:val="22"/>
          <w:szCs w:val="22"/>
        </w:rPr>
        <w:t xml:space="preserve"> </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u w:val="single"/>
        </w:rPr>
      </w:pPr>
      <w:r w:rsidRPr="00735B57">
        <w:rPr>
          <w:rFonts w:ascii="Arial" w:hAnsi="Arial" w:cs="Arial"/>
          <w:color w:val="000000"/>
          <w:sz w:val="22"/>
          <w:szCs w:val="22"/>
          <w:u w:val="single"/>
        </w:rPr>
        <w:t>Item relatif au volume d’activité :</w:t>
      </w:r>
    </w:p>
    <w:p w:rsidR="009F178D" w:rsidRPr="00735B57" w:rsidRDefault="009F178D" w:rsidP="009F178D">
      <w:pPr>
        <w:pStyle w:val="Paragraphedeliste"/>
        <w:numPr>
          <w:ilvl w:val="0"/>
          <w:numId w:val="4"/>
        </w:numPr>
        <w:autoSpaceDE w:val="0"/>
        <w:autoSpaceDN w:val="0"/>
        <w:adjustRightInd w:val="0"/>
        <w:snapToGrid w:val="0"/>
        <w:jc w:val="both"/>
        <w:rPr>
          <w:rFonts w:ascii="Arial" w:hAnsi="Arial" w:cs="Arial"/>
          <w:color w:val="000000"/>
        </w:rPr>
      </w:pPr>
      <w:r w:rsidRPr="00735B57">
        <w:rPr>
          <w:rFonts w:ascii="Arial" w:hAnsi="Arial" w:cs="Arial"/>
          <w:color w:val="000000"/>
        </w:rPr>
        <w:t xml:space="preserve">Nombre de dossiers traités  </w:t>
      </w: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Cet item compte pour 50% dans le classement des centres.</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u w:val="single"/>
        </w:rPr>
      </w:pPr>
      <w:r w:rsidRPr="00735B57">
        <w:rPr>
          <w:rFonts w:ascii="Arial" w:hAnsi="Arial" w:cs="Arial"/>
          <w:color w:val="000000"/>
          <w:sz w:val="22"/>
          <w:szCs w:val="22"/>
          <w:u w:val="single"/>
        </w:rPr>
        <w:t>Items relatifs à la complexité des dossiers :</w:t>
      </w:r>
    </w:p>
    <w:p w:rsidR="009F178D" w:rsidRPr="00735B57" w:rsidRDefault="009F178D" w:rsidP="009F178D">
      <w:pPr>
        <w:pStyle w:val="Paragraphedeliste"/>
        <w:numPr>
          <w:ilvl w:val="0"/>
          <w:numId w:val="4"/>
        </w:numPr>
        <w:autoSpaceDE w:val="0"/>
        <w:autoSpaceDN w:val="0"/>
        <w:adjustRightInd w:val="0"/>
        <w:snapToGrid w:val="0"/>
        <w:jc w:val="both"/>
        <w:rPr>
          <w:rFonts w:ascii="Arial" w:hAnsi="Arial" w:cs="Arial"/>
          <w:color w:val="000000"/>
        </w:rPr>
      </w:pPr>
      <w:r w:rsidRPr="00735B57">
        <w:rPr>
          <w:rFonts w:ascii="Arial" w:hAnsi="Arial" w:cs="Arial"/>
          <w:color w:val="000000"/>
        </w:rPr>
        <w:t>Nombre d’attestations de gravité et d’incurabilité délivrées</w:t>
      </w:r>
    </w:p>
    <w:p w:rsidR="009F178D" w:rsidRPr="00735B57" w:rsidRDefault="009F178D" w:rsidP="009F178D">
      <w:pPr>
        <w:pStyle w:val="Paragraphedeliste"/>
        <w:numPr>
          <w:ilvl w:val="0"/>
          <w:numId w:val="4"/>
        </w:numPr>
        <w:autoSpaceDE w:val="0"/>
        <w:autoSpaceDN w:val="0"/>
        <w:adjustRightInd w:val="0"/>
        <w:snapToGrid w:val="0"/>
        <w:jc w:val="both"/>
        <w:rPr>
          <w:rFonts w:ascii="Arial" w:hAnsi="Arial" w:cs="Arial"/>
          <w:color w:val="000000"/>
        </w:rPr>
      </w:pPr>
      <w:r w:rsidRPr="00735B57">
        <w:rPr>
          <w:rFonts w:ascii="Arial" w:hAnsi="Arial" w:cs="Arial"/>
          <w:color w:val="000000"/>
        </w:rPr>
        <w:t xml:space="preserve">Nombre d’actes d’imagerie effectués </w:t>
      </w:r>
    </w:p>
    <w:p w:rsidR="009F178D" w:rsidRPr="00735B57" w:rsidRDefault="009F178D" w:rsidP="009F178D">
      <w:pPr>
        <w:pStyle w:val="Paragraphedeliste"/>
        <w:numPr>
          <w:ilvl w:val="0"/>
          <w:numId w:val="4"/>
        </w:numPr>
        <w:autoSpaceDE w:val="0"/>
        <w:autoSpaceDN w:val="0"/>
        <w:adjustRightInd w:val="0"/>
        <w:snapToGrid w:val="0"/>
        <w:jc w:val="both"/>
        <w:rPr>
          <w:rFonts w:ascii="Arial" w:hAnsi="Arial" w:cs="Arial"/>
          <w:color w:val="000000"/>
        </w:rPr>
      </w:pPr>
      <w:r w:rsidRPr="00735B57">
        <w:rPr>
          <w:rFonts w:ascii="Arial" w:hAnsi="Arial" w:cs="Arial"/>
          <w:color w:val="000000"/>
        </w:rPr>
        <w:t xml:space="preserve">Nombre de prélèvements réalisés </w:t>
      </w:r>
    </w:p>
    <w:p w:rsidR="009F178D" w:rsidRPr="00735B57" w:rsidRDefault="009F178D" w:rsidP="009F178D">
      <w:pPr>
        <w:pStyle w:val="Paragraphedeliste"/>
        <w:numPr>
          <w:ilvl w:val="0"/>
          <w:numId w:val="4"/>
        </w:numPr>
        <w:autoSpaceDE w:val="0"/>
        <w:autoSpaceDN w:val="0"/>
        <w:adjustRightInd w:val="0"/>
        <w:snapToGrid w:val="0"/>
        <w:jc w:val="both"/>
        <w:rPr>
          <w:rFonts w:ascii="Arial" w:hAnsi="Arial" w:cs="Arial"/>
          <w:color w:val="000000"/>
        </w:rPr>
      </w:pPr>
      <w:r w:rsidRPr="00735B57">
        <w:rPr>
          <w:rFonts w:ascii="Arial" w:hAnsi="Arial" w:cs="Arial"/>
          <w:color w:val="000000"/>
        </w:rPr>
        <w:t>Nombre de gestes thérapeutiques réalisés.</w:t>
      </w: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Chacun de ces quatre items compte pour 12,5% dans le classement des centres.</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La mesure de l’activité, couplée à celle de la complexité des cas traités, permet ainsi le classement de chaque centre dans l’une des classes suivantes :</w:t>
      </w:r>
    </w:p>
    <w:p w:rsidR="009F178D" w:rsidRPr="00735B57" w:rsidRDefault="009F178D" w:rsidP="009F178D">
      <w:pPr>
        <w:autoSpaceDE w:val="0"/>
        <w:autoSpaceDN w:val="0"/>
        <w:adjustRightInd w:val="0"/>
        <w:snapToGrid w:val="0"/>
        <w:ind w:left="708"/>
        <w:jc w:val="both"/>
        <w:rPr>
          <w:rFonts w:ascii="Arial" w:hAnsi="Arial" w:cs="Arial"/>
          <w:color w:val="000000"/>
          <w:sz w:val="22"/>
          <w:szCs w:val="22"/>
        </w:rPr>
      </w:pPr>
      <w:r w:rsidRPr="00735B57">
        <w:rPr>
          <w:rFonts w:ascii="Arial" w:hAnsi="Arial" w:cs="Arial"/>
          <w:color w:val="000000"/>
          <w:sz w:val="22"/>
          <w:szCs w:val="22"/>
        </w:rPr>
        <w:t>Niveau A = 203 000 €</w:t>
      </w:r>
    </w:p>
    <w:p w:rsidR="009F178D" w:rsidRPr="00735B57" w:rsidRDefault="009F178D" w:rsidP="009F178D">
      <w:pPr>
        <w:autoSpaceDE w:val="0"/>
        <w:autoSpaceDN w:val="0"/>
        <w:adjustRightInd w:val="0"/>
        <w:snapToGrid w:val="0"/>
        <w:ind w:left="708"/>
        <w:jc w:val="both"/>
        <w:rPr>
          <w:rFonts w:ascii="Arial" w:hAnsi="Arial" w:cs="Arial"/>
          <w:color w:val="000000"/>
          <w:sz w:val="22"/>
          <w:szCs w:val="22"/>
        </w:rPr>
      </w:pPr>
      <w:r w:rsidRPr="00735B57">
        <w:rPr>
          <w:rFonts w:ascii="Arial" w:hAnsi="Arial" w:cs="Arial"/>
          <w:color w:val="000000"/>
          <w:sz w:val="22"/>
          <w:szCs w:val="22"/>
        </w:rPr>
        <w:t xml:space="preserve">Niveau B = 250 000 € </w:t>
      </w:r>
    </w:p>
    <w:p w:rsidR="009F178D" w:rsidRPr="00735B57" w:rsidRDefault="009F178D" w:rsidP="009F178D">
      <w:pPr>
        <w:autoSpaceDE w:val="0"/>
        <w:autoSpaceDN w:val="0"/>
        <w:adjustRightInd w:val="0"/>
        <w:snapToGrid w:val="0"/>
        <w:ind w:left="708"/>
        <w:jc w:val="both"/>
        <w:rPr>
          <w:rFonts w:ascii="Arial" w:hAnsi="Arial" w:cs="Arial"/>
          <w:color w:val="000000"/>
          <w:sz w:val="22"/>
          <w:szCs w:val="22"/>
        </w:rPr>
      </w:pPr>
      <w:r w:rsidRPr="00735B57">
        <w:rPr>
          <w:rFonts w:ascii="Arial" w:hAnsi="Arial" w:cs="Arial"/>
          <w:color w:val="000000"/>
          <w:sz w:val="22"/>
          <w:szCs w:val="22"/>
        </w:rPr>
        <w:t>Niveau C = 310 000 €</w:t>
      </w:r>
    </w:p>
    <w:p w:rsidR="009F178D" w:rsidRPr="00735B57" w:rsidRDefault="009F178D" w:rsidP="009F178D">
      <w:pPr>
        <w:autoSpaceDE w:val="0"/>
        <w:autoSpaceDN w:val="0"/>
        <w:adjustRightInd w:val="0"/>
        <w:snapToGrid w:val="0"/>
        <w:ind w:left="708"/>
        <w:jc w:val="both"/>
        <w:rPr>
          <w:rFonts w:ascii="Arial" w:hAnsi="Arial" w:cs="Arial"/>
          <w:color w:val="000000"/>
          <w:sz w:val="22"/>
          <w:szCs w:val="22"/>
        </w:rPr>
      </w:pPr>
      <w:r w:rsidRPr="00735B57">
        <w:rPr>
          <w:rFonts w:ascii="Arial" w:hAnsi="Arial" w:cs="Arial"/>
          <w:color w:val="000000"/>
          <w:sz w:val="22"/>
          <w:szCs w:val="22"/>
        </w:rPr>
        <w:t>Niveau D = 370 000 €</w:t>
      </w:r>
    </w:p>
    <w:p w:rsidR="009F178D" w:rsidRPr="00735B57" w:rsidRDefault="009F178D" w:rsidP="009F178D">
      <w:pPr>
        <w:autoSpaceDE w:val="0"/>
        <w:autoSpaceDN w:val="0"/>
        <w:adjustRightInd w:val="0"/>
        <w:snapToGrid w:val="0"/>
        <w:ind w:left="708"/>
        <w:jc w:val="both"/>
        <w:rPr>
          <w:rFonts w:ascii="Arial" w:hAnsi="Arial" w:cs="Arial"/>
          <w:color w:val="000000"/>
          <w:sz w:val="22"/>
          <w:szCs w:val="22"/>
        </w:rPr>
      </w:pPr>
      <w:r w:rsidRPr="00735B57">
        <w:rPr>
          <w:rFonts w:ascii="Arial" w:hAnsi="Arial" w:cs="Arial"/>
          <w:color w:val="000000"/>
          <w:sz w:val="22"/>
          <w:szCs w:val="22"/>
        </w:rPr>
        <w:t>Niveau E = 430 000 €</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9F178D" w:rsidRPr="00735B57" w:rsidRDefault="009F178D" w:rsidP="009F178D">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Les dotations des établissements sont majorées le cas échéant du coefficient géographique.</w:t>
      </w:r>
    </w:p>
    <w:p w:rsidR="009F178D" w:rsidRPr="00735B57" w:rsidRDefault="009F178D" w:rsidP="009F178D">
      <w:pPr>
        <w:autoSpaceDE w:val="0"/>
        <w:autoSpaceDN w:val="0"/>
        <w:adjustRightInd w:val="0"/>
        <w:snapToGrid w:val="0"/>
        <w:jc w:val="both"/>
        <w:rPr>
          <w:rFonts w:ascii="Arial" w:hAnsi="Arial" w:cs="Arial"/>
          <w:color w:val="000000"/>
          <w:sz w:val="22"/>
          <w:szCs w:val="22"/>
        </w:rPr>
      </w:pPr>
    </w:p>
    <w:p w:rsidR="00194959" w:rsidRPr="001F5599" w:rsidRDefault="009F178D" w:rsidP="001F5599">
      <w:pPr>
        <w:autoSpaceDE w:val="0"/>
        <w:autoSpaceDN w:val="0"/>
        <w:adjustRightInd w:val="0"/>
        <w:snapToGrid w:val="0"/>
        <w:jc w:val="both"/>
        <w:rPr>
          <w:rFonts w:ascii="Arial" w:hAnsi="Arial" w:cs="Arial"/>
          <w:color w:val="000000"/>
          <w:sz w:val="22"/>
          <w:szCs w:val="22"/>
        </w:rPr>
      </w:pPr>
      <w:r w:rsidRPr="00735B57">
        <w:rPr>
          <w:rFonts w:ascii="Arial" w:hAnsi="Arial" w:cs="Arial"/>
          <w:color w:val="000000"/>
          <w:sz w:val="22"/>
          <w:szCs w:val="22"/>
        </w:rPr>
        <w:t xml:space="preserve">L’Agence de la biomédecine pilote un groupe de travail avec la fédération des CPDPN afin d’améliorer la qualité et le délai du recueil du RAA. </w:t>
      </w:r>
    </w:p>
    <w:sectPr w:rsidR="00194959" w:rsidRPr="001F5599" w:rsidSect="002A7EFB">
      <w:footerReference w:type="default" r:id="rId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6A3" w:rsidRDefault="00C166A3" w:rsidP="009F178D">
      <w:r>
        <w:separator/>
      </w:r>
    </w:p>
  </w:endnote>
  <w:endnote w:type="continuationSeparator" w:id="0">
    <w:p w:rsidR="00C166A3" w:rsidRDefault="00C166A3" w:rsidP="009F178D">
      <w:r>
        <w:continuationSeparator/>
      </w:r>
    </w:p>
  </w:endnote>
</w:endnotes>
</file>

<file path=word/fontTable.xml><?xml version="1.0" encoding="utf-8"?>
<w:fonts xmlns:r="http://schemas.openxmlformats.org/officeDocument/2006/relationships" xmlns:w="http://schemas.openxmlformats.org/wordprocessingml/2006/main">
  <w:font w:name="ial">
    <w:altName w:val="Time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2141"/>
      <w:docPartObj>
        <w:docPartGallery w:val="Page Numbers (Bottom of Page)"/>
        <w:docPartUnique/>
      </w:docPartObj>
    </w:sdtPr>
    <w:sdtContent>
      <w:p w:rsidR="00C166A3" w:rsidRDefault="00010997">
        <w:pPr>
          <w:pStyle w:val="Pieddepage"/>
          <w:jc w:val="right"/>
        </w:pPr>
        <w:fldSimple w:instr=" PAGE   \* MERGEFORMAT ">
          <w:r w:rsidR="000D10C3">
            <w:rPr>
              <w:noProof/>
            </w:rPr>
            <w:t>7</w:t>
          </w:r>
        </w:fldSimple>
      </w:p>
    </w:sdtContent>
  </w:sdt>
  <w:p w:rsidR="00C166A3" w:rsidRDefault="00C166A3">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6A3" w:rsidRDefault="00C166A3" w:rsidP="009F178D">
      <w:r>
        <w:separator/>
      </w:r>
    </w:p>
  </w:footnote>
  <w:footnote w:type="continuationSeparator" w:id="0">
    <w:p w:rsidR="00C166A3" w:rsidRDefault="00C166A3" w:rsidP="009F178D">
      <w:r>
        <w:continuationSeparator/>
      </w:r>
    </w:p>
  </w:footnote>
  <w:footnote w:id="1">
    <w:p w:rsidR="00C166A3" w:rsidRDefault="00C166A3" w:rsidP="009F178D">
      <w:pPr>
        <w:pStyle w:val="Notedebasdepage"/>
      </w:pPr>
      <w:r>
        <w:rPr>
          <w:rStyle w:val="Marquenotebasdepage"/>
        </w:rPr>
        <w:footnoteRef/>
      </w:r>
      <w:r>
        <w:t xml:space="preserve"> </w:t>
      </w:r>
      <w:r w:rsidRPr="001C237B">
        <w:rPr>
          <w:sz w:val="16"/>
          <w:szCs w:val="16"/>
        </w:rPr>
        <w:t>Ce compartiment recouvre les activités de fécondation in vitro, avec ou sans injection intracytoplasmique, en intraconjugal ou avec tiers donneur. Par définition, sont exclues de ce compartiment toutes les prises en charge des donneurs de gamètes.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00FF5"/>
    <w:multiLevelType w:val="hybridMultilevel"/>
    <w:tmpl w:val="4B009A56"/>
    <w:lvl w:ilvl="0" w:tplc="E4124744">
      <w:start w:val="1"/>
      <w:numFmt w:val="bullet"/>
      <w:lvlText w:val="-"/>
      <w:lvlJc w:val="left"/>
      <w:pPr>
        <w:ind w:left="720" w:hanging="360"/>
      </w:pPr>
      <w:rPr>
        <w:rFonts w:ascii="ial" w:eastAsia="Times New Roman" w:hAnsi="ial" w:cs="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057CDC"/>
    <w:multiLevelType w:val="hybridMultilevel"/>
    <w:tmpl w:val="FD006F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FB399D"/>
    <w:multiLevelType w:val="hybridMultilevel"/>
    <w:tmpl w:val="5608F476"/>
    <w:lvl w:ilvl="0" w:tplc="0EA29C80">
      <w:numFmt w:val="bullet"/>
      <w:lvlText w:val="-"/>
      <w:lvlJc w:val="left"/>
      <w:pPr>
        <w:ind w:left="720" w:hanging="360"/>
      </w:pPr>
      <w:rPr>
        <w:rFonts w:ascii="Calibri" w:eastAsia="Times New Roman" w:hAnsi="Calibri" w:cs="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5E98330D"/>
    <w:multiLevelType w:val="hybridMultilevel"/>
    <w:tmpl w:val="625A78D6"/>
    <w:lvl w:ilvl="0" w:tplc="0EA29C8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1C3B5E"/>
    <w:multiLevelType w:val="hybridMultilevel"/>
    <w:tmpl w:val="9D3EE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DC4A70"/>
    <w:multiLevelType w:val="hybridMultilevel"/>
    <w:tmpl w:val="C598DBD8"/>
    <w:lvl w:ilvl="0" w:tplc="D9FE620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230F30"/>
    <w:multiLevelType w:val="multilevel"/>
    <w:tmpl w:val="D4AA3A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194959"/>
    <w:rsid w:val="00010997"/>
    <w:rsid w:val="000120ED"/>
    <w:rsid w:val="00060C56"/>
    <w:rsid w:val="000A617D"/>
    <w:rsid w:val="000C0BE4"/>
    <w:rsid w:val="000D10C3"/>
    <w:rsid w:val="000D7E3F"/>
    <w:rsid w:val="00106CF0"/>
    <w:rsid w:val="00151775"/>
    <w:rsid w:val="00194959"/>
    <w:rsid w:val="001E6DA7"/>
    <w:rsid w:val="001F5599"/>
    <w:rsid w:val="00202A1A"/>
    <w:rsid w:val="00213851"/>
    <w:rsid w:val="00227C20"/>
    <w:rsid w:val="0024316A"/>
    <w:rsid w:val="00290B39"/>
    <w:rsid w:val="002A7EFB"/>
    <w:rsid w:val="002B0FC2"/>
    <w:rsid w:val="002C2FEF"/>
    <w:rsid w:val="0035376E"/>
    <w:rsid w:val="003946CD"/>
    <w:rsid w:val="003F5F02"/>
    <w:rsid w:val="003F610C"/>
    <w:rsid w:val="004079E5"/>
    <w:rsid w:val="004172B0"/>
    <w:rsid w:val="00460090"/>
    <w:rsid w:val="004C16E5"/>
    <w:rsid w:val="004D3D4B"/>
    <w:rsid w:val="004E7E48"/>
    <w:rsid w:val="005227F5"/>
    <w:rsid w:val="00584AEE"/>
    <w:rsid w:val="005A0FB5"/>
    <w:rsid w:val="005A1FC4"/>
    <w:rsid w:val="005B5935"/>
    <w:rsid w:val="00614140"/>
    <w:rsid w:val="0064433D"/>
    <w:rsid w:val="00667EF6"/>
    <w:rsid w:val="006D0114"/>
    <w:rsid w:val="007134F2"/>
    <w:rsid w:val="00722402"/>
    <w:rsid w:val="00727C2D"/>
    <w:rsid w:val="0078274E"/>
    <w:rsid w:val="007939CA"/>
    <w:rsid w:val="007976C2"/>
    <w:rsid w:val="00805CB4"/>
    <w:rsid w:val="0081746B"/>
    <w:rsid w:val="00861009"/>
    <w:rsid w:val="00940B04"/>
    <w:rsid w:val="009A5806"/>
    <w:rsid w:val="009B6969"/>
    <w:rsid w:val="009D09CA"/>
    <w:rsid w:val="009E62AD"/>
    <w:rsid w:val="009F178D"/>
    <w:rsid w:val="00A43870"/>
    <w:rsid w:val="00AB6B0B"/>
    <w:rsid w:val="00B3676E"/>
    <w:rsid w:val="00B679E3"/>
    <w:rsid w:val="00B844A3"/>
    <w:rsid w:val="00B9491F"/>
    <w:rsid w:val="00BA159E"/>
    <w:rsid w:val="00BD7DCF"/>
    <w:rsid w:val="00BF0C95"/>
    <w:rsid w:val="00C06AFE"/>
    <w:rsid w:val="00C13554"/>
    <w:rsid w:val="00C166A3"/>
    <w:rsid w:val="00C2659D"/>
    <w:rsid w:val="00C31ED1"/>
    <w:rsid w:val="00CA6147"/>
    <w:rsid w:val="00CB2D09"/>
    <w:rsid w:val="00CD3F7B"/>
    <w:rsid w:val="00CE7662"/>
    <w:rsid w:val="00DA3B17"/>
    <w:rsid w:val="00DD4E61"/>
    <w:rsid w:val="00DD7B92"/>
    <w:rsid w:val="00E35C12"/>
    <w:rsid w:val="00E537D3"/>
    <w:rsid w:val="00E94EA6"/>
    <w:rsid w:val="00ED14CC"/>
    <w:rsid w:val="00ED262B"/>
    <w:rsid w:val="00F00059"/>
    <w:rsid w:val="00F076DE"/>
    <w:rsid w:val="00F55AA4"/>
    <w:rsid w:val="00F721CD"/>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59"/>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link w:val="ParagraphedelisteCar"/>
    <w:uiPriority w:val="34"/>
    <w:qFormat/>
    <w:rsid w:val="009F178D"/>
    <w:pPr>
      <w:ind w:left="720"/>
    </w:pPr>
    <w:rPr>
      <w:rFonts w:ascii="Calibri" w:eastAsiaTheme="minorHAnsi" w:hAnsi="Calibri" w:cs="Calibri"/>
      <w:sz w:val="22"/>
      <w:szCs w:val="22"/>
      <w:lang w:eastAsia="fr-FR"/>
    </w:rPr>
  </w:style>
  <w:style w:type="table" w:styleId="Grille">
    <w:name w:val="Table Grid"/>
    <w:basedOn w:val="TableauNormal"/>
    <w:uiPriority w:val="59"/>
    <w:rsid w:val="009F178D"/>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9F178D"/>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semiHidden/>
    <w:rsid w:val="009F178D"/>
    <w:rPr>
      <w:rFonts w:eastAsiaTheme="minorEastAsia"/>
      <w:sz w:val="20"/>
      <w:szCs w:val="20"/>
      <w:lang w:eastAsia="fr-FR"/>
    </w:rPr>
  </w:style>
  <w:style w:type="character" w:styleId="Marquenotebasdepage">
    <w:name w:val="footnote reference"/>
    <w:basedOn w:val="Policepardfaut"/>
    <w:uiPriority w:val="99"/>
    <w:semiHidden/>
    <w:unhideWhenUsed/>
    <w:rsid w:val="009F178D"/>
    <w:rPr>
      <w:vertAlign w:val="superscript"/>
    </w:rPr>
  </w:style>
  <w:style w:type="paragraph" w:styleId="Textebrut">
    <w:name w:val="Plain Text"/>
    <w:basedOn w:val="Normal"/>
    <w:link w:val="TextebrutCar"/>
    <w:uiPriority w:val="99"/>
    <w:semiHidden/>
    <w:unhideWhenUsed/>
    <w:rsid w:val="009F178D"/>
    <w:rPr>
      <w:rFonts w:ascii="Consolas" w:eastAsiaTheme="minorHAnsi" w:hAnsi="Consolas" w:cs="Consolas"/>
      <w:sz w:val="21"/>
      <w:szCs w:val="21"/>
      <w:lang w:eastAsia="fr-FR"/>
    </w:rPr>
  </w:style>
  <w:style w:type="character" w:customStyle="1" w:styleId="TextebrutCar">
    <w:name w:val="Texte brut Car"/>
    <w:basedOn w:val="Policepardfaut"/>
    <w:link w:val="Textebrut"/>
    <w:uiPriority w:val="99"/>
    <w:semiHidden/>
    <w:rsid w:val="009F178D"/>
    <w:rPr>
      <w:rFonts w:ascii="Consolas" w:hAnsi="Consolas" w:cs="Consolas"/>
      <w:sz w:val="21"/>
      <w:szCs w:val="21"/>
      <w:lang w:eastAsia="fr-FR"/>
    </w:rPr>
  </w:style>
  <w:style w:type="paragraph" w:customStyle="1" w:styleId="Default">
    <w:name w:val="Default"/>
    <w:rsid w:val="009F178D"/>
    <w:pPr>
      <w:autoSpaceDE w:val="0"/>
      <w:autoSpaceDN w:val="0"/>
      <w:adjustRightInd w:val="0"/>
      <w:spacing w:after="0" w:line="240" w:lineRule="auto"/>
    </w:pPr>
    <w:rPr>
      <w:rFonts w:ascii="Arial" w:hAnsi="Arial" w:cs="Arial"/>
      <w:color w:val="000000"/>
      <w:sz w:val="24"/>
      <w:szCs w:val="24"/>
    </w:rPr>
  </w:style>
  <w:style w:type="paragraph" w:styleId="Corpsdetexte3">
    <w:name w:val="Body Text 3"/>
    <w:basedOn w:val="Normal"/>
    <w:link w:val="Corpsdetexte3Car"/>
    <w:uiPriority w:val="99"/>
    <w:semiHidden/>
    <w:unhideWhenUsed/>
    <w:rsid w:val="009F178D"/>
    <w:pPr>
      <w:spacing w:after="120"/>
    </w:pPr>
    <w:rPr>
      <w:sz w:val="16"/>
      <w:szCs w:val="16"/>
    </w:rPr>
  </w:style>
  <w:style w:type="character" w:customStyle="1" w:styleId="Corpsdetexte3Car">
    <w:name w:val="Corps de texte 3 Car"/>
    <w:basedOn w:val="Policepardfaut"/>
    <w:link w:val="Corpsdetexte3"/>
    <w:uiPriority w:val="99"/>
    <w:semiHidden/>
    <w:rsid w:val="009F178D"/>
    <w:rPr>
      <w:rFonts w:ascii="Times New Roman" w:eastAsia="MS Mincho" w:hAnsi="Times New Roman" w:cs="Times New Roman"/>
      <w:sz w:val="16"/>
      <w:szCs w:val="16"/>
      <w:lang w:eastAsia="ja-JP"/>
    </w:rPr>
  </w:style>
  <w:style w:type="character" w:customStyle="1" w:styleId="ParagraphedelisteCar">
    <w:name w:val="Paragraphe de liste Car"/>
    <w:link w:val="Paragraphedeliste"/>
    <w:uiPriority w:val="34"/>
    <w:rsid w:val="009F178D"/>
    <w:rPr>
      <w:rFonts w:ascii="Calibri" w:hAnsi="Calibri" w:cs="Calibri"/>
      <w:lang w:eastAsia="fr-FR"/>
    </w:rPr>
  </w:style>
  <w:style w:type="paragraph" w:styleId="En-tte">
    <w:name w:val="header"/>
    <w:basedOn w:val="Normal"/>
    <w:link w:val="En-tteCar"/>
    <w:uiPriority w:val="99"/>
    <w:semiHidden/>
    <w:unhideWhenUsed/>
    <w:rsid w:val="00060C56"/>
    <w:pPr>
      <w:tabs>
        <w:tab w:val="center" w:pos="4536"/>
        <w:tab w:val="right" w:pos="9072"/>
      </w:tabs>
    </w:pPr>
  </w:style>
  <w:style w:type="character" w:customStyle="1" w:styleId="En-tteCar">
    <w:name w:val="En-tête Car"/>
    <w:basedOn w:val="Policepardfaut"/>
    <w:link w:val="En-tte"/>
    <w:uiPriority w:val="99"/>
    <w:semiHidden/>
    <w:rsid w:val="00060C56"/>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060C56"/>
    <w:pPr>
      <w:tabs>
        <w:tab w:val="center" w:pos="4536"/>
        <w:tab w:val="right" w:pos="9072"/>
      </w:tabs>
    </w:pPr>
  </w:style>
  <w:style w:type="character" w:customStyle="1" w:styleId="PieddepageCar">
    <w:name w:val="Pied de page Car"/>
    <w:basedOn w:val="Policepardfaut"/>
    <w:link w:val="Pieddepage"/>
    <w:uiPriority w:val="99"/>
    <w:rsid w:val="00060C56"/>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1062827677">
      <w:bodyDiv w:val="1"/>
      <w:marLeft w:val="0"/>
      <w:marRight w:val="0"/>
      <w:marTop w:val="0"/>
      <w:marBottom w:val="0"/>
      <w:divBdr>
        <w:top w:val="none" w:sz="0" w:space="0" w:color="auto"/>
        <w:left w:val="none" w:sz="0" w:space="0" w:color="auto"/>
        <w:bottom w:val="none" w:sz="0" w:space="0" w:color="auto"/>
        <w:right w:val="none" w:sz="0" w:space="0" w:color="auto"/>
      </w:divBdr>
    </w:div>
    <w:div w:id="13730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2878</Words>
  <Characters>16410</Characters>
  <Application>Microsoft Macintosh Word</Application>
  <DocSecurity>0</DocSecurity>
  <Lines>136</Lines>
  <Paragraphs>32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vpajevic</dc:creator>
  <cp:lastModifiedBy>crouzet</cp:lastModifiedBy>
  <cp:revision>2</cp:revision>
  <cp:lastPrinted>2014-03-18T15:36:00Z</cp:lastPrinted>
  <dcterms:created xsi:type="dcterms:W3CDTF">2014-04-09T12:56:00Z</dcterms:created>
  <dcterms:modified xsi:type="dcterms:W3CDTF">2014-04-09T12:56:00Z</dcterms:modified>
</cp:coreProperties>
</file>