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D1" w:rsidRDefault="008B043F" w:rsidP="002E3ED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Annexe V</w:t>
      </w:r>
    </w:p>
    <w:p w:rsidR="0016628C" w:rsidRPr="002E3ED1" w:rsidRDefault="008B043F" w:rsidP="002E3ED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M</w:t>
      </w:r>
      <w:r w:rsidR="002E3ED1" w:rsidRPr="002E3ED1">
        <w:rPr>
          <w:rFonts w:ascii="Arial" w:hAnsi="Arial" w:cs="Arial"/>
          <w:b/>
        </w:rPr>
        <w:t>odes de délégations des missions d’intérêt général</w:t>
      </w:r>
    </w:p>
    <w:p w:rsidR="0016628C" w:rsidRDefault="0016628C" w:rsidP="0016628C">
      <w:pPr>
        <w:spacing w:after="0" w:line="240" w:lineRule="auto"/>
        <w:rPr>
          <w:rFonts w:ascii="Arial" w:hAnsi="Arial" w:cs="Arial"/>
        </w:rPr>
      </w:pPr>
    </w:p>
    <w:p w:rsidR="00843696" w:rsidRDefault="00843696" w:rsidP="00843696">
      <w:pPr>
        <w:autoSpaceDE w:val="0"/>
        <w:autoSpaceDN w:val="0"/>
        <w:spacing w:after="0" w:line="240" w:lineRule="auto"/>
        <w:jc w:val="both"/>
        <w:rPr>
          <w:rFonts w:ascii="Arial" w:hAnsi="Arial" w:cs="Arial"/>
        </w:rPr>
      </w:pPr>
      <w:r>
        <w:rPr>
          <w:rFonts w:ascii="Arial" w:hAnsi="Arial" w:cs="Arial"/>
        </w:rPr>
        <w:t>Le</w:t>
      </w:r>
      <w:r w:rsidRPr="00735B57">
        <w:rPr>
          <w:rFonts w:ascii="Arial" w:hAnsi="Arial" w:cs="Arial"/>
        </w:rPr>
        <w:t xml:space="preserve"> tableau </w:t>
      </w:r>
      <w:r>
        <w:rPr>
          <w:rFonts w:ascii="Arial" w:hAnsi="Arial" w:cs="Arial"/>
        </w:rPr>
        <w:t>présenté ci-dessous fait</w:t>
      </w:r>
      <w:r w:rsidRPr="00735B57">
        <w:rPr>
          <w:rFonts w:ascii="Arial" w:hAnsi="Arial" w:cs="Arial"/>
        </w:rPr>
        <w:t xml:space="preserve"> le lien entre les mesures de la circulaire et la nomenclature des MIG. A des fins de lisibilité et de meilleur suivi budgétaire des allocations, il vous est demandé de respecter cette grille lors de l’imputation des dotations dans le système d’information.</w:t>
      </w:r>
      <w:r>
        <w:rPr>
          <w:rFonts w:ascii="Arial" w:hAnsi="Arial" w:cs="Arial"/>
        </w:rPr>
        <w:t xml:space="preserve"> </w:t>
      </w:r>
    </w:p>
    <w:p w:rsidR="00843696" w:rsidRDefault="00843696" w:rsidP="00843696">
      <w:pPr>
        <w:autoSpaceDE w:val="0"/>
        <w:autoSpaceDN w:val="0"/>
        <w:spacing w:after="0" w:line="240" w:lineRule="auto"/>
        <w:jc w:val="both"/>
        <w:rPr>
          <w:rFonts w:ascii="Arial" w:hAnsi="Arial" w:cs="Arial"/>
        </w:rPr>
      </w:pPr>
    </w:p>
    <w:p w:rsidR="00843696" w:rsidRDefault="00843696" w:rsidP="00843696">
      <w:pPr>
        <w:autoSpaceDE w:val="0"/>
        <w:autoSpaceDN w:val="0"/>
        <w:spacing w:after="0" w:line="240" w:lineRule="auto"/>
        <w:jc w:val="both"/>
        <w:rPr>
          <w:rFonts w:ascii="Arial" w:hAnsi="Arial" w:cs="Arial"/>
        </w:rPr>
      </w:pPr>
      <w:r>
        <w:rPr>
          <w:rFonts w:ascii="Arial" w:hAnsi="Arial" w:cs="Arial"/>
        </w:rPr>
        <w:t xml:space="preserve">C’est également dans ce but que la nomenclature des MIG est reportée le cas échéant dans l’annexe IA de la circulaire. </w:t>
      </w:r>
    </w:p>
    <w:p w:rsidR="00843696" w:rsidRDefault="00843696" w:rsidP="0016628C">
      <w:pPr>
        <w:spacing w:after="0" w:line="240" w:lineRule="auto"/>
        <w:rPr>
          <w:rFonts w:ascii="Arial" w:hAnsi="Arial" w:cs="Arial"/>
        </w:rPr>
      </w:pPr>
    </w:p>
    <w:p w:rsidR="00843696" w:rsidRPr="0016628C" w:rsidRDefault="00843696" w:rsidP="0016628C">
      <w:pPr>
        <w:spacing w:after="0" w:line="240" w:lineRule="auto"/>
        <w:rPr>
          <w:rFonts w:ascii="Arial" w:hAnsi="Arial" w:cs="Arial"/>
        </w:rPr>
      </w:pPr>
    </w:p>
    <w:tbl>
      <w:tblPr>
        <w:tblW w:w="5000" w:type="pct"/>
        <w:tblCellMar>
          <w:left w:w="70" w:type="dxa"/>
          <w:right w:w="70" w:type="dxa"/>
        </w:tblCellMar>
        <w:tblLook w:val="04A0"/>
      </w:tblPr>
      <w:tblGrid>
        <w:gridCol w:w="1121"/>
        <w:gridCol w:w="7083"/>
        <w:gridCol w:w="2105"/>
        <w:gridCol w:w="2025"/>
        <w:gridCol w:w="1810"/>
      </w:tblGrid>
      <w:tr w:rsidR="0016628C" w:rsidRPr="0016628C">
        <w:trPr>
          <w:trHeight w:val="900"/>
        </w:trPr>
        <w:tc>
          <w:tcPr>
            <w:tcW w:w="396" w:type="pct"/>
            <w:tcBorders>
              <w:top w:val="single" w:sz="4" w:space="0" w:color="auto"/>
              <w:left w:val="single" w:sz="4" w:space="0" w:color="auto"/>
              <w:bottom w:val="single" w:sz="4" w:space="0" w:color="auto"/>
              <w:right w:val="single" w:sz="4" w:space="0" w:color="auto"/>
            </w:tcBorders>
            <w:shd w:val="clear" w:color="000000" w:fill="C5D9F1"/>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Numéro</w:t>
            </w:r>
            <w:r w:rsidRPr="0016628C">
              <w:rPr>
                <w:rFonts w:ascii="Calibri" w:eastAsia="Times New Roman" w:hAnsi="Calibri" w:cs="Calibri"/>
                <w:b/>
                <w:bCs/>
                <w:color w:val="000000"/>
                <w:lang w:eastAsia="fr-FR"/>
              </w:rPr>
              <w:br/>
              <w:t>de la MIG</w:t>
            </w:r>
          </w:p>
        </w:tc>
        <w:tc>
          <w:tcPr>
            <w:tcW w:w="2503" w:type="pct"/>
            <w:tcBorders>
              <w:top w:val="single" w:sz="4" w:space="0" w:color="auto"/>
              <w:left w:val="nil"/>
              <w:bottom w:val="single" w:sz="4" w:space="0" w:color="auto"/>
              <w:right w:val="single" w:sz="4" w:space="0" w:color="auto"/>
            </w:tcBorders>
            <w:shd w:val="clear" w:color="000000" w:fill="C5D9F1"/>
            <w:noWrap/>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Nom de la MIG</w:t>
            </w:r>
          </w:p>
        </w:tc>
        <w:tc>
          <w:tcPr>
            <w:tcW w:w="744" w:type="pct"/>
            <w:tcBorders>
              <w:top w:val="single" w:sz="4" w:space="0" w:color="auto"/>
              <w:left w:val="nil"/>
              <w:bottom w:val="single" w:sz="4" w:space="0" w:color="auto"/>
              <w:right w:val="single" w:sz="4" w:space="0" w:color="auto"/>
            </w:tcBorders>
            <w:shd w:val="clear" w:color="000000" w:fill="C5D9F1"/>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Délégation en base ou</w:t>
            </w:r>
            <w:r w:rsidRPr="0016628C">
              <w:rPr>
                <w:rFonts w:ascii="Calibri" w:eastAsia="Times New Roman" w:hAnsi="Calibri" w:cs="Calibri"/>
                <w:b/>
                <w:bCs/>
                <w:color w:val="000000"/>
                <w:lang w:eastAsia="fr-FR"/>
              </w:rPr>
              <w:br/>
              <w:t>hors base ("JPE")</w:t>
            </w:r>
          </w:p>
        </w:tc>
        <w:tc>
          <w:tcPr>
            <w:tcW w:w="716" w:type="pct"/>
            <w:tcBorders>
              <w:top w:val="single" w:sz="4" w:space="0" w:color="auto"/>
              <w:left w:val="nil"/>
              <w:bottom w:val="single" w:sz="4" w:space="0" w:color="auto"/>
              <w:right w:val="single" w:sz="4" w:space="0" w:color="auto"/>
            </w:tcBorders>
            <w:shd w:val="clear" w:color="000000" w:fill="C5D9F1"/>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Fléchage par</w:t>
            </w:r>
            <w:r w:rsidRPr="0016628C">
              <w:rPr>
                <w:rFonts w:ascii="Calibri" w:eastAsia="Times New Roman" w:hAnsi="Calibri" w:cs="Calibri"/>
                <w:b/>
                <w:bCs/>
                <w:color w:val="000000"/>
                <w:lang w:eastAsia="fr-FR"/>
              </w:rPr>
              <w:br/>
              <w:t>établissement ou pas de fléchage</w:t>
            </w:r>
          </w:p>
        </w:tc>
        <w:tc>
          <w:tcPr>
            <w:tcW w:w="640" w:type="pct"/>
            <w:tcBorders>
              <w:top w:val="single" w:sz="4" w:space="0" w:color="auto"/>
              <w:left w:val="nil"/>
              <w:bottom w:val="single" w:sz="4" w:space="0" w:color="auto"/>
              <w:right w:val="single" w:sz="4" w:space="0" w:color="auto"/>
            </w:tcBorders>
            <w:shd w:val="clear" w:color="000000" w:fill="C5D9F1"/>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Délégation impérative</w:t>
            </w:r>
            <w:r w:rsidRPr="0016628C">
              <w:rPr>
                <w:rFonts w:ascii="Calibri" w:eastAsia="Times New Roman" w:hAnsi="Calibri" w:cs="Calibri"/>
                <w:b/>
                <w:bCs/>
                <w:color w:val="000000"/>
                <w:lang w:eastAsia="fr-FR"/>
              </w:rPr>
              <w:br/>
              <w:t>ou indicative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vAlign w:val="bottom"/>
          </w:tcPr>
          <w:p w:rsidR="0016628C" w:rsidRPr="0016628C" w:rsidRDefault="0016628C" w:rsidP="0016628C">
            <w:pPr>
              <w:spacing w:after="0" w:line="240" w:lineRule="auto"/>
              <w:jc w:val="center"/>
              <w:rPr>
                <w:rFonts w:ascii="Arial" w:eastAsia="Times New Roman" w:hAnsi="Arial" w:cs="Arial"/>
                <w:b/>
                <w:bCs/>
                <w:color w:val="000000"/>
                <w:sz w:val="20"/>
                <w:szCs w:val="20"/>
                <w:lang w:eastAsia="fr-FR"/>
              </w:rPr>
            </w:pPr>
            <w:r w:rsidRPr="0016628C">
              <w:rPr>
                <w:rFonts w:ascii="Arial" w:eastAsia="Times New Roman" w:hAnsi="Arial" w:cs="Arial"/>
                <w:b/>
                <w:bCs/>
                <w:color w:val="000000"/>
                <w:sz w:val="20"/>
                <w:szCs w:val="20"/>
                <w:lang w:eastAsia="fr-FR"/>
              </w:rPr>
              <w:t>A01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financement des charges fixes des missions générales d'enseignement, de recherche, de référence, d'innovation et de recours (dite part fixe)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vAlign w:val="bottom"/>
          </w:tcPr>
          <w:p w:rsidR="0016628C" w:rsidRPr="0016628C" w:rsidRDefault="0016628C" w:rsidP="0016628C">
            <w:pPr>
              <w:spacing w:after="0" w:line="240" w:lineRule="auto"/>
              <w:jc w:val="center"/>
              <w:rPr>
                <w:rFonts w:ascii="Arial" w:eastAsia="Times New Roman" w:hAnsi="Arial" w:cs="Arial"/>
                <w:b/>
                <w:bCs/>
                <w:color w:val="000000"/>
                <w:sz w:val="20"/>
                <w:szCs w:val="20"/>
                <w:lang w:eastAsia="fr-FR"/>
              </w:rPr>
            </w:pPr>
            <w:r w:rsidRPr="0016628C">
              <w:rPr>
                <w:rFonts w:ascii="Arial" w:eastAsia="Times New Roman" w:hAnsi="Arial" w:cs="Arial"/>
                <w:b/>
                <w:bCs/>
                <w:color w:val="000000"/>
                <w:sz w:val="20"/>
                <w:szCs w:val="20"/>
                <w:lang w:eastAsia="fr-FR"/>
              </w:rPr>
              <w:t>B02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financement des charges modulables des missions générales d'enseignement, de recherche, de référence, d'innovation et de recours (dite part modulable)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vAlign w:val="bottom"/>
          </w:tcPr>
          <w:p w:rsidR="0016628C" w:rsidRPr="0016628C" w:rsidRDefault="0016628C" w:rsidP="0016628C">
            <w:pPr>
              <w:spacing w:after="0" w:line="240" w:lineRule="auto"/>
              <w:jc w:val="center"/>
              <w:rPr>
                <w:rFonts w:ascii="Arial" w:eastAsia="Times New Roman" w:hAnsi="Arial" w:cs="Arial"/>
                <w:b/>
                <w:bCs/>
                <w:color w:val="000000"/>
                <w:sz w:val="20"/>
                <w:szCs w:val="20"/>
                <w:lang w:eastAsia="fr-FR"/>
              </w:rPr>
            </w:pPr>
            <w:r w:rsidRPr="0016628C">
              <w:rPr>
                <w:rFonts w:ascii="Arial" w:eastAsia="Times New Roman" w:hAnsi="Arial" w:cs="Arial"/>
                <w:b/>
                <w:bCs/>
                <w:color w:val="000000"/>
                <w:sz w:val="20"/>
                <w:szCs w:val="20"/>
                <w:lang w:eastAsia="fr-FR"/>
              </w:rPr>
              <w:t>C03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financement des activités de recours exceptionnel</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d'investigation clinique (CIC)</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D02</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recherche clinique (CRC)</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D03</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délégations à la recherche clinique et à l'innovation (DRCI)</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ressources biologiques (CRB)</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D05</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hospitalier de recherche clinique national (PHRCN)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D06</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hospitalier de recherche clinique en cancérologie (PHRCK)</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D07</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hospitalier de recherche clinique interrégional (PHRCI)</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D08</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recherche translationnelle (PRT)</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D09</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recherche translationnelle en santé (PRTS)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D10</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recherche translationnelle en cancérologie (PRTK)</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D11</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recherche sur la performance du système de soins (PREPS)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D12</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hospitalier de recherche infirmière et paramédicale (PHRIP)</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D14</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soutien aux techniques innovantes (PSTIC)</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D15</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projets de recherche entrant dans le programme de soutien aux techniques innovantes en cancérologie (PSTICK)</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D16</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emplois de technicien et d'assistant de recherche clinique pour la réalisation d'essais cliniques dans les services de soins prévus dans le cadre de la politique nationale de lutte contre le cancer</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D17</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groupements interrégionaux de recherche clinique et d'innovation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D18</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tumorothèques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D19</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L'effort d'expertise des établissements de santé</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D20</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soutien exceptionnel à la recherche clinique et à l'innovation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D21</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programmes de recherche médico-économique (PRME)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D22</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programmes de recherche médico-économique en cancérologie (PRMEK)</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E01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stages de résidents de radiophysiciens prévus dans le cadre de la politique nationale de lutte contre le cancer</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E02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financement de la rémunération des internes en médecine, pharmacie et en odontologie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Pas de 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Indicative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mémoire de ressources et de recherche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référents pour les troubles spécifiques d'apprentissage du langage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référence pour la prise en charge des maladies rares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référence sur l'hémophilie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F06</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ressources et de compétences sur la mucoviscidose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F07</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ressources et de compétences sur la sclérose latérale amyotrophique (SLA)</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F08</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référence sur la mort inattendue du nourrisson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F09</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d'implantation cochléaire et du tronc cérébral</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F10</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ressources sur les maladies professionnelles (CRMP)</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services experts de lutte contre les hépatites virales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pluridisciplinaires de diagnostic prénatal (CPDPN)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diagnostic préimplantatoire (CDPI)</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nationaux de référence pour la lutte contre les maladies transmissibles mentionnés à l'article L. 1413-4 du code de la santé publique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F15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référence pour infections ostéo-articulaires (CIOA)</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laboratoires d'oncogénétique, de génétique moléculaire, de cytogénétique et de neurogénétique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médicaments bénéficiant ou ayant bénéficié d'une autorisation temporaire d'utilisation (ATU) en attente de leur agrément</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102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actes de biologie , les actes d'anatomo-cyto-pathologie et les actes dentaires non inscrits sur la liste prévue à l'article L. 162-1-7 du code de la sécurité sociale à l'exception des activités d'hygiène hospitalière et des typages HLA effectués dans le cadre de l'activité de greffe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organes artificiels jusqu'à la date de leur inscription sur la liste des produits et prestations remboursables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dispositifs innovants en matière de thérapie cellulaire et tissulaire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G06</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 Les centres de référence pour le traitement de l'hypercholestérolémie majeure par épuration extracorporelle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observatoires régionaux et interrégionaux des médicaments, des dispositifs médicaux et de l'innovation thérapeutique (OMEDIT) mentionnés à l'article D. 162-16 du code de la sécurité sociale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centres de coordination de la lutte contre les infections nosocomiales (CCLIN) mentionnés aux articles 6 et 7 de l'arrêté du 3 août 1992 modifié relatif à l'organisation de la lutte contre les infections nosocomiales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antennes régionales de lutte contre les infections nosocomiales (ARLIN) mentionnées dans l'arrêté du 17 mai 2006 relatif aux antennes régionales de lutte contre les infections nosocomiales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centres régionaux de pharmacovigilance et les centres d'évaluation et d'information sur la pharmacodépendance mentionnés aux articles R. 5121-167 et R. 5132-99 du code de la santé publique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coordonnateurs régionaux d'hémovigilance mentionnés aux articles R. 1221-32 à R. 1221-35 du code de la santé publique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H06</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centres antipoison mentionnés à l'article L. 6141-4 du code de la santé publique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H07</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registres à caractère épidémiologique mentionnés à l'article 2 de l'arrêté du 6 novembre 1995 modifié relatif au Comité national des registres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H08</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 Centre national de ressources de la douleur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H09</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Centre national de ressources pour les soins palliatifs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H10</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l'Observatoire national de la fin de vie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H11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de coordination des soins en cancérologie (3C)</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H12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interrégionaux de coordination pour la maladie de Parkinson</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I04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équipes de cancérologie pédiatrique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J01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lactariums mentionnés à l'article L. 2323-1 du code de la santé publique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J02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surcoûts cliniques et biologiques de l'assistance médicale à la procréation, du don d'ovocytes et de spermatozoïdes, de l'accueil d'embryon et de la préservation de la fertilité</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J03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prélèvements de tissus lors de prélèvement multi-organes et à cœur arrêté</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K02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La mise à disposition par l'établissement de santé de moyens au bénéfice des centres de préventions et de soins et des maisons médicales mentionnées à l'article L. 162-3 du code de la sécurité sociale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K03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unités d'accueil et de soins des patients sourds en langue des signes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N01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espaces de réflexion éthique régionaux ou interrégionaux (ERERI)</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Pas de 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Indicative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O01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actions de prévention et gestion des risques liés à des circonstances exceptionnelles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O02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La mise en œuvre des missions des établissements de santé de référence mentionnés à l'article R. 3131-10 du code de la santé publique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O03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L'acquisition et la maintenance des moyens zonaux des établissements de santé pour la gestion des risques liés à des circonstances exceptionnelles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consultations hospitalières d'addictologie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structures d'étude et de traitement de la douleur chronique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76CC9" w:rsidRPr="0016628C" w:rsidRDefault="00176CC9" w:rsidP="00176CC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Indicatif</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consultations hospitalières de génétique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P06</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 nutrition parentérale à domicile, à l'exception des cas où le patient est pris en charge par une structure d'hospitalisation à domicile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P09</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 coordination des parcours de soins en cancérologie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P10</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centres experts de la maladie de Parkinson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services d'aide médicale urgente (SAMU) mentionnés à l'article L. 6112-5 du code de la santé publique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Pas de 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Indicative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services mobiles d'urgence et de réanimation (SMUR) mentionnés à l'article R. 6123-10 du code de la santé publique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1860"/>
        </w:trPr>
        <w:tc>
          <w:tcPr>
            <w:tcW w:w="396" w:type="pct"/>
            <w:tcBorders>
              <w:top w:val="nil"/>
              <w:left w:val="single" w:sz="4" w:space="0" w:color="auto"/>
              <w:bottom w:val="single" w:sz="4" w:space="0" w:color="auto"/>
              <w:right w:val="single" w:sz="4" w:space="0" w:color="auto"/>
            </w:tcBorders>
            <w:shd w:val="clear" w:color="000000" w:fill="C5D9F1"/>
            <w:noWrap/>
            <w:vAlign w:val="center"/>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centres nationaux d'appels d'urgence spécifiques : centre de consultations médicales maritimes mentionné à l'arrêté du 10 mai 1995 relatif à la qualification du centre de consultations médicales maritimes de Toulouse comme centre de consultations et d'assistance télé-médicale maritimes dans le cadre de l'aide médicale en mer et centre national de relais mentionné à l'arrêté du 1er février 2010 désignant le CHU de Grenoble dans sa mise en œuvre du centre de réception des appels d'urgence passés par les personnes non ou malentendantes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 transport sanitaire bariatrique</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cellules d’urgence médico-psychologiques (CUMP)</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Q06</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L’aide médicale en mer</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 contribution aux actions expérimentales et à l'élaboration des outils de régulation, notamment les études nationales de coûts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102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La rémunération, les charges sociales, frais professionnels et avantages en nature des agents mis à disposition auprès des services de l'Etat chargés de la définition et de la mise en œuvre de la politique hospitalière ou de la gestion des crises sanitaires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102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La coordination des instances nationales de représentations des directeurs d'établissements hospitaliers et des présidents de commission médicale d'établissements et de conférences médicales mentionnées aux articles L. 6144-1, L. 6161-2 et L. 6161-8 du code de la santé publique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102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La rémunération, les charges sociales des personnels mis à disposition auprès des organisations syndicales nationales représentatives des personnels des établissements de santé mentionnés aux a, b et c de l'article L. 162-22-6 du code de la sécurité sociale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R05</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actions de coopérations internationales en matière hospitalière dans le cadre des politiques de coopération internationale définies par les autorités de l'État</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R06</w:t>
            </w:r>
          </w:p>
        </w:tc>
        <w:tc>
          <w:tcPr>
            <w:tcW w:w="2503" w:type="pct"/>
            <w:tcBorders>
              <w:top w:val="nil"/>
              <w:left w:val="nil"/>
              <w:bottom w:val="single" w:sz="4" w:space="0" w:color="auto"/>
              <w:right w:val="single" w:sz="4" w:space="0" w:color="auto"/>
            </w:tcBorders>
            <w:shd w:val="clear" w:color="auto" w:fill="auto"/>
          </w:tcPr>
          <w:p w:rsidR="0016628C" w:rsidRPr="0016628C" w:rsidRDefault="00B94283" w:rsidP="0016628C">
            <w:pPr>
              <w:spacing w:after="0" w:line="240" w:lineRule="auto"/>
              <w:rPr>
                <w:rFonts w:ascii="Arial" w:eastAsia="Times New Roman" w:hAnsi="Arial" w:cs="Arial"/>
                <w:sz w:val="20"/>
                <w:szCs w:val="20"/>
                <w:lang w:eastAsia="fr-FR"/>
              </w:rPr>
            </w:pPr>
            <w:hyperlink r:id="rId7" w:history="1">
              <w:r w:rsidR="0016628C" w:rsidRPr="0016628C">
                <w:rPr>
                  <w:rFonts w:ascii="Arial" w:eastAsia="Times New Roman" w:hAnsi="Arial" w:cs="Arial"/>
                  <w:sz w:val="20"/>
                  <w:lang w:eastAsia="fr-FR"/>
                </w:rPr>
                <w:t>La participation à la rémunération des agents bénéficiant des dispositions du décret 97-215 du 10 mars 1997</w:t>
              </w:r>
            </w:hyperlink>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T02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unités hospitalières sécurisées interrégionales (UHSI)</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T03</w:t>
            </w:r>
          </w:p>
        </w:tc>
        <w:tc>
          <w:tcPr>
            <w:tcW w:w="2503" w:type="pct"/>
            <w:tcBorders>
              <w:top w:val="nil"/>
              <w:left w:val="nil"/>
              <w:bottom w:val="single" w:sz="4" w:space="0" w:color="auto"/>
              <w:right w:val="single" w:sz="4" w:space="0" w:color="auto"/>
            </w:tcBorders>
            <w:shd w:val="clear" w:color="000000" w:fill="FFFFFF"/>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unités sanitaires en milieu pénitentiaire (USMP ; ex UCSA)</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30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T04</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chambres sécurisées pour détenus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510"/>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Arial" w:eastAsia="Times New Roman" w:hAnsi="Arial" w:cs="Arial"/>
                <w:b/>
                <w:bCs/>
                <w:color w:val="000000"/>
                <w:sz w:val="20"/>
                <w:szCs w:val="20"/>
                <w:lang w:eastAsia="fr-FR"/>
              </w:rPr>
            </w:pPr>
            <w:r w:rsidRPr="0016628C">
              <w:rPr>
                <w:rFonts w:ascii="Arial" w:eastAsia="Times New Roman" w:hAnsi="Arial" w:cs="Arial"/>
                <w:b/>
                <w:bCs/>
                <w:color w:val="000000"/>
                <w:sz w:val="20"/>
                <w:szCs w:val="20"/>
                <w:lang w:eastAsia="fr-FR"/>
              </w:rPr>
              <w:t>U01</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dépenses spécifiques liées à la prise en charge des patients en situation de précarité par des équipes hospitalières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U02</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 xml:space="preserve">Les permanences d'accès aux soins de santé mentionnées à l'article L. 6112-6 du code de la santé publique, dont la prise en charge des patients en situation précaire par des équipes hospitalières à l'extérieur des établissements de santé </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Base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Sans objet</w:t>
            </w:r>
          </w:p>
        </w:tc>
      </w:tr>
      <w:tr w:rsidR="0016628C" w:rsidRPr="0016628C">
        <w:trPr>
          <w:trHeight w:val="765"/>
        </w:trPr>
        <w:tc>
          <w:tcPr>
            <w:tcW w:w="396" w:type="pct"/>
            <w:tcBorders>
              <w:top w:val="nil"/>
              <w:left w:val="single" w:sz="4" w:space="0" w:color="auto"/>
              <w:bottom w:val="single" w:sz="4" w:space="0" w:color="auto"/>
              <w:right w:val="single" w:sz="4" w:space="0" w:color="auto"/>
            </w:tcBorders>
            <w:shd w:val="clear" w:color="000000" w:fill="C5D9F1"/>
            <w:noWrap/>
            <w:vAlign w:val="bottom"/>
          </w:tcPr>
          <w:p w:rsidR="0016628C" w:rsidRPr="0016628C" w:rsidRDefault="0016628C" w:rsidP="0016628C">
            <w:pPr>
              <w:spacing w:after="0" w:line="240" w:lineRule="auto"/>
              <w:jc w:val="center"/>
              <w:rPr>
                <w:rFonts w:ascii="Calibri" w:eastAsia="Times New Roman" w:hAnsi="Calibri" w:cs="Calibri"/>
                <w:b/>
                <w:bCs/>
                <w:color w:val="000000"/>
                <w:lang w:eastAsia="fr-FR"/>
              </w:rPr>
            </w:pPr>
            <w:r w:rsidRPr="0016628C">
              <w:rPr>
                <w:rFonts w:ascii="Calibri" w:eastAsia="Times New Roman" w:hAnsi="Calibri" w:cs="Calibri"/>
                <w:b/>
                <w:bCs/>
                <w:color w:val="000000"/>
                <w:lang w:eastAsia="fr-FR"/>
              </w:rPr>
              <w:t>U03</w:t>
            </w:r>
          </w:p>
        </w:tc>
        <w:tc>
          <w:tcPr>
            <w:tcW w:w="2503" w:type="pct"/>
            <w:tcBorders>
              <w:top w:val="nil"/>
              <w:left w:val="nil"/>
              <w:bottom w:val="single" w:sz="4" w:space="0" w:color="auto"/>
              <w:right w:val="single" w:sz="4" w:space="0" w:color="auto"/>
            </w:tcBorders>
            <w:shd w:val="clear" w:color="auto" w:fill="auto"/>
          </w:tcPr>
          <w:p w:rsidR="0016628C" w:rsidRPr="0016628C" w:rsidRDefault="0016628C" w:rsidP="0016628C">
            <w:pPr>
              <w:spacing w:after="0" w:line="240" w:lineRule="auto"/>
              <w:rPr>
                <w:rFonts w:ascii="Arial" w:eastAsia="Times New Roman" w:hAnsi="Arial" w:cs="Arial"/>
                <w:color w:val="000000"/>
                <w:sz w:val="20"/>
                <w:szCs w:val="20"/>
                <w:lang w:eastAsia="fr-FR"/>
              </w:rPr>
            </w:pPr>
            <w:r w:rsidRPr="0016628C">
              <w:rPr>
                <w:rFonts w:ascii="Arial" w:eastAsia="Times New Roman" w:hAnsi="Arial" w:cs="Arial"/>
                <w:color w:val="000000"/>
                <w:sz w:val="20"/>
                <w:szCs w:val="20"/>
                <w:lang w:eastAsia="fr-FR"/>
              </w:rPr>
              <w:t>Les dépenses spécifiques liées à la prise en charge odontologique des patients atteints de pathologies compliquant cette prise en charge dans les centres de soins, d'enseignement et de recherche dentaires</w:t>
            </w:r>
          </w:p>
        </w:tc>
        <w:tc>
          <w:tcPr>
            <w:tcW w:w="744"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JPE</w:t>
            </w:r>
          </w:p>
        </w:tc>
        <w:tc>
          <w:tcPr>
            <w:tcW w:w="716"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Fléchage</w:t>
            </w:r>
          </w:p>
        </w:tc>
        <w:tc>
          <w:tcPr>
            <w:tcW w:w="640" w:type="pct"/>
            <w:tcBorders>
              <w:top w:val="nil"/>
              <w:left w:val="nil"/>
              <w:bottom w:val="single" w:sz="4" w:space="0" w:color="auto"/>
              <w:right w:val="single" w:sz="4" w:space="0" w:color="auto"/>
            </w:tcBorders>
            <w:shd w:val="clear" w:color="auto" w:fill="auto"/>
            <w:noWrap/>
            <w:vAlign w:val="bottom"/>
          </w:tcPr>
          <w:p w:rsidR="0016628C" w:rsidRPr="0016628C" w:rsidRDefault="0016628C" w:rsidP="0016628C">
            <w:pPr>
              <w:spacing w:after="0" w:line="240" w:lineRule="auto"/>
              <w:jc w:val="center"/>
              <w:rPr>
                <w:rFonts w:ascii="Calibri" w:eastAsia="Times New Roman" w:hAnsi="Calibri" w:cs="Calibri"/>
                <w:color w:val="000000"/>
                <w:lang w:eastAsia="fr-FR"/>
              </w:rPr>
            </w:pPr>
            <w:r w:rsidRPr="0016628C">
              <w:rPr>
                <w:rFonts w:ascii="Calibri" w:eastAsia="Times New Roman" w:hAnsi="Calibri" w:cs="Calibri"/>
                <w:color w:val="000000"/>
                <w:lang w:eastAsia="fr-FR"/>
              </w:rPr>
              <w:t>Impérative</w:t>
            </w:r>
          </w:p>
        </w:tc>
      </w:tr>
    </w:tbl>
    <w:p w:rsidR="0016628C" w:rsidRPr="0016628C" w:rsidRDefault="0016628C" w:rsidP="0016628C">
      <w:pPr>
        <w:spacing w:after="0" w:line="240" w:lineRule="auto"/>
        <w:rPr>
          <w:rFonts w:ascii="Arial" w:hAnsi="Arial" w:cs="Arial"/>
        </w:rPr>
      </w:pPr>
    </w:p>
    <w:p w:rsidR="0016628C" w:rsidRPr="0016628C" w:rsidRDefault="0016628C" w:rsidP="0016628C">
      <w:pPr>
        <w:spacing w:after="0" w:line="240" w:lineRule="auto"/>
        <w:rPr>
          <w:rFonts w:ascii="Arial" w:hAnsi="Arial" w:cs="Arial"/>
        </w:rPr>
      </w:pPr>
    </w:p>
    <w:p w:rsidR="0016628C" w:rsidRPr="0016628C" w:rsidRDefault="0016628C" w:rsidP="0016628C">
      <w:pPr>
        <w:spacing w:after="0" w:line="240" w:lineRule="auto"/>
        <w:rPr>
          <w:rFonts w:ascii="Arial" w:hAnsi="Arial" w:cs="Arial"/>
        </w:rPr>
      </w:pPr>
    </w:p>
    <w:sectPr w:rsidR="0016628C" w:rsidRPr="0016628C" w:rsidSect="0016628C">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AC" w:rsidRDefault="00D055AC" w:rsidP="00D055AC">
      <w:pPr>
        <w:spacing w:after="0" w:line="240" w:lineRule="auto"/>
      </w:pPr>
      <w:r>
        <w:separator/>
      </w:r>
    </w:p>
  </w:endnote>
  <w:endnote w:type="continuationSeparator" w:id="0">
    <w:p w:rsidR="00D055AC" w:rsidRDefault="00D055AC" w:rsidP="00D05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751"/>
      <w:docPartObj>
        <w:docPartGallery w:val="Page Numbers (Bottom of Page)"/>
        <w:docPartUnique/>
      </w:docPartObj>
    </w:sdtPr>
    <w:sdtContent>
      <w:p w:rsidR="00D055AC" w:rsidRDefault="00B94283">
        <w:pPr>
          <w:pStyle w:val="Pieddepage"/>
          <w:jc w:val="right"/>
        </w:pPr>
        <w:fldSimple w:instr=" PAGE   \* MERGEFORMAT ">
          <w:r w:rsidR="00DB4B29">
            <w:rPr>
              <w:noProof/>
            </w:rPr>
            <w:t>6</w:t>
          </w:r>
        </w:fldSimple>
      </w:p>
    </w:sdtContent>
  </w:sdt>
  <w:p w:rsidR="00D055AC" w:rsidRDefault="00D055AC">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AC" w:rsidRDefault="00D055AC" w:rsidP="00D055AC">
      <w:pPr>
        <w:spacing w:after="0" w:line="240" w:lineRule="auto"/>
      </w:pPr>
      <w:r>
        <w:separator/>
      </w:r>
    </w:p>
  </w:footnote>
  <w:footnote w:type="continuationSeparator" w:id="0">
    <w:p w:rsidR="00D055AC" w:rsidRDefault="00D055AC" w:rsidP="00D055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6628C"/>
    <w:rsid w:val="00151775"/>
    <w:rsid w:val="0016628C"/>
    <w:rsid w:val="00176CC9"/>
    <w:rsid w:val="002A7EFB"/>
    <w:rsid w:val="002E3ED1"/>
    <w:rsid w:val="003D1B63"/>
    <w:rsid w:val="0047328A"/>
    <w:rsid w:val="00590CAD"/>
    <w:rsid w:val="0068446B"/>
    <w:rsid w:val="00761197"/>
    <w:rsid w:val="00843696"/>
    <w:rsid w:val="00861009"/>
    <w:rsid w:val="008B043F"/>
    <w:rsid w:val="00985112"/>
    <w:rsid w:val="00B94283"/>
    <w:rsid w:val="00D055AC"/>
    <w:rsid w:val="00D3396D"/>
    <w:rsid w:val="00DB4B29"/>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16628C"/>
    <w:rPr>
      <w:color w:val="0000FF"/>
      <w:u w:val="single"/>
    </w:rPr>
  </w:style>
  <w:style w:type="paragraph" w:styleId="En-tte">
    <w:name w:val="header"/>
    <w:basedOn w:val="Normal"/>
    <w:link w:val="En-tteCar"/>
    <w:uiPriority w:val="99"/>
    <w:semiHidden/>
    <w:unhideWhenUsed/>
    <w:rsid w:val="00D055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55AC"/>
  </w:style>
  <w:style w:type="paragraph" w:styleId="Pieddepage">
    <w:name w:val="footer"/>
    <w:basedOn w:val="Normal"/>
    <w:link w:val="PieddepageCar"/>
    <w:uiPriority w:val="99"/>
    <w:unhideWhenUsed/>
    <w:rsid w:val="00D05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5AC"/>
  </w:style>
</w:styles>
</file>

<file path=word/webSettings.xml><?xml version="1.0" encoding="utf-8"?>
<w:webSettings xmlns:r="http://schemas.openxmlformats.org/officeDocument/2006/relationships" xmlns:w="http://schemas.openxmlformats.org/wordprocessingml/2006/main">
  <w:divs>
    <w:div w:id="16903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egifrance.gouv.fr/affichTexte.do;jsessionid=A644B53CA7EA3D451A814C6095159F4D.tpdjo15v_1&amp;dateTexte=?cidTexte=JORFTEXT000000565523&amp;categorieLien=cid"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5971-5E84-764A-B460-ACBD50F0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11023</Characters>
  <Application>Microsoft Macintosh Word</Application>
  <DocSecurity>0</DocSecurity>
  <Lines>91</Lines>
  <Paragraphs>22</Paragraphs>
  <ScaleCrop>false</ScaleCrop>
  <Company>MSS</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dcterms:created xsi:type="dcterms:W3CDTF">2014-04-09T12:56:00Z</dcterms:created>
  <dcterms:modified xsi:type="dcterms:W3CDTF">2014-04-09T12:56:00Z</dcterms:modified>
</cp:coreProperties>
</file>