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74" w:rsidRPr="005217F0" w:rsidRDefault="005217F0" w:rsidP="005217F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5217F0">
        <w:rPr>
          <w:rFonts w:ascii="Arial" w:hAnsi="Arial" w:cs="Arial"/>
          <w:b/>
          <w:sz w:val="22"/>
          <w:szCs w:val="22"/>
        </w:rPr>
        <w:t>Annexe V</w:t>
      </w:r>
      <w:r w:rsidR="005212CD">
        <w:rPr>
          <w:rFonts w:ascii="Arial" w:hAnsi="Arial" w:cs="Arial"/>
          <w:b/>
          <w:sz w:val="22"/>
          <w:szCs w:val="22"/>
        </w:rPr>
        <w:t>I</w:t>
      </w:r>
      <w:r w:rsidR="0026175E">
        <w:rPr>
          <w:rFonts w:ascii="Arial" w:hAnsi="Arial" w:cs="Arial"/>
          <w:b/>
          <w:sz w:val="22"/>
          <w:szCs w:val="22"/>
        </w:rPr>
        <w:t>I</w:t>
      </w:r>
      <w:r w:rsidR="00AB01E6" w:rsidRPr="005217F0">
        <w:rPr>
          <w:rFonts w:ascii="Arial" w:hAnsi="Arial" w:cs="Arial"/>
          <w:b/>
          <w:sz w:val="22"/>
          <w:szCs w:val="22"/>
        </w:rPr>
        <w:t> : les investissements hospitaliers</w:t>
      </w:r>
    </w:p>
    <w:p w:rsidR="005E4DA4" w:rsidRPr="009D1780" w:rsidRDefault="005E4DA4" w:rsidP="009D1780">
      <w:pPr>
        <w:jc w:val="both"/>
        <w:rPr>
          <w:rFonts w:ascii="Arial" w:hAnsi="Arial" w:cs="Arial"/>
          <w:sz w:val="22"/>
          <w:szCs w:val="22"/>
        </w:rPr>
      </w:pPr>
    </w:p>
    <w:p w:rsidR="009D1780" w:rsidRDefault="009D1780" w:rsidP="009D1780">
      <w:pPr>
        <w:jc w:val="both"/>
        <w:rPr>
          <w:rFonts w:ascii="Arial" w:hAnsi="Arial" w:cs="Arial"/>
          <w:spacing w:val="-3"/>
          <w:sz w:val="22"/>
          <w:szCs w:val="22"/>
        </w:rPr>
      </w:pPr>
    </w:p>
    <w:p w:rsidR="00840272" w:rsidRDefault="00840272" w:rsidP="005E4DA4">
      <w:pPr>
        <w:pStyle w:val="Pieddepage"/>
        <w:tabs>
          <w:tab w:val="clear" w:pos="4536"/>
          <w:tab w:val="clear" w:pos="9072"/>
          <w:tab w:val="right" w:pos="-1843"/>
        </w:tabs>
        <w:rPr>
          <w:rFonts w:cs="Arial"/>
          <w:b/>
          <w:szCs w:val="22"/>
        </w:rPr>
      </w:pPr>
    </w:p>
    <w:p w:rsidR="005D5F82" w:rsidRPr="005E4DA4" w:rsidRDefault="005D5F82" w:rsidP="005E4DA4">
      <w:pPr>
        <w:pStyle w:val="Pieddepage"/>
        <w:tabs>
          <w:tab w:val="clear" w:pos="4536"/>
          <w:tab w:val="clear" w:pos="9072"/>
          <w:tab w:val="right" w:pos="-1843"/>
        </w:tabs>
        <w:rPr>
          <w:rFonts w:cs="Arial"/>
          <w:b/>
          <w:szCs w:val="22"/>
        </w:rPr>
      </w:pPr>
      <w:r w:rsidRPr="005E4DA4">
        <w:rPr>
          <w:rFonts w:cs="Arial"/>
          <w:b/>
          <w:szCs w:val="22"/>
        </w:rPr>
        <w:t>Le financement des projets d’investissement</w:t>
      </w:r>
      <w:r w:rsidR="00907E95">
        <w:rPr>
          <w:rFonts w:cs="Arial"/>
          <w:b/>
          <w:szCs w:val="22"/>
        </w:rPr>
        <w:t xml:space="preserve"> : </w:t>
      </w:r>
      <w:r w:rsidR="00907E95" w:rsidRPr="00907E95">
        <w:rPr>
          <w:rFonts w:cs="Arial"/>
          <w:b/>
          <w:szCs w:val="22"/>
        </w:rPr>
        <w:t>Hôpital 2012 Systèmes d’Informations </w:t>
      </w:r>
    </w:p>
    <w:p w:rsidR="005D5F82" w:rsidRPr="005E4DA4" w:rsidRDefault="005D5F82" w:rsidP="005E4DA4">
      <w:pPr>
        <w:autoSpaceDE w:val="0"/>
        <w:autoSpaceDN w:val="0"/>
        <w:adjustRightInd w:val="0"/>
        <w:jc w:val="both"/>
        <w:rPr>
          <w:rFonts w:ascii="Arial" w:hAnsi="Arial" w:cs="Arial"/>
          <w:sz w:val="22"/>
          <w:szCs w:val="22"/>
        </w:rPr>
      </w:pPr>
    </w:p>
    <w:p w:rsidR="005D5F82" w:rsidRPr="005E4DA4" w:rsidRDefault="005D5F82" w:rsidP="005E4DA4">
      <w:pPr>
        <w:jc w:val="both"/>
        <w:rPr>
          <w:rFonts w:ascii="Arial" w:hAnsi="Arial" w:cs="Arial"/>
          <w:sz w:val="22"/>
          <w:szCs w:val="22"/>
        </w:rPr>
      </w:pPr>
      <w:r w:rsidRPr="005E4DA4">
        <w:rPr>
          <w:rFonts w:ascii="Arial" w:hAnsi="Arial" w:cs="Arial"/>
          <w:sz w:val="22"/>
          <w:szCs w:val="22"/>
        </w:rPr>
        <w:t>Conformément aux règles de délégations des crédits accordés aux opérations « Hôpital 2012 Systèmes d’Informations », les crédits sont mis en base sur une durée de 5 ans. Ainsi, les crédits délégués par le niveau national aux ARS en 2009 font l’objet en 2014 d</w:t>
      </w:r>
      <w:r w:rsidR="00B060C2">
        <w:rPr>
          <w:rFonts w:ascii="Arial" w:hAnsi="Arial" w:cs="Arial"/>
          <w:sz w:val="22"/>
          <w:szCs w:val="22"/>
        </w:rPr>
        <w:t>’un</w:t>
      </w:r>
      <w:r w:rsidRPr="005E4DA4">
        <w:rPr>
          <w:rFonts w:ascii="Arial" w:hAnsi="Arial" w:cs="Arial"/>
          <w:sz w:val="22"/>
          <w:szCs w:val="22"/>
        </w:rPr>
        <w:t xml:space="preserve"> débasage tel qu</w:t>
      </w:r>
      <w:r w:rsidR="00907C4E">
        <w:rPr>
          <w:rFonts w:ascii="Arial" w:hAnsi="Arial" w:cs="Arial"/>
          <w:sz w:val="22"/>
          <w:szCs w:val="22"/>
        </w:rPr>
        <w:t>’opéré au sein de</w:t>
      </w:r>
      <w:r w:rsidRPr="005E4DA4">
        <w:rPr>
          <w:rFonts w:ascii="Arial" w:hAnsi="Arial" w:cs="Arial"/>
          <w:sz w:val="22"/>
          <w:szCs w:val="22"/>
        </w:rPr>
        <w:t xml:space="preserve"> </w:t>
      </w:r>
      <w:r w:rsidR="00B060C2">
        <w:rPr>
          <w:rFonts w:ascii="Arial" w:hAnsi="Arial" w:cs="Arial"/>
          <w:sz w:val="22"/>
          <w:szCs w:val="22"/>
        </w:rPr>
        <w:t xml:space="preserve">l’annexe I de cette </w:t>
      </w:r>
      <w:r w:rsidRPr="005E4DA4">
        <w:rPr>
          <w:rFonts w:ascii="Arial" w:hAnsi="Arial" w:cs="Arial"/>
          <w:sz w:val="22"/>
          <w:szCs w:val="22"/>
        </w:rPr>
        <w:t>circulaire.</w:t>
      </w:r>
    </w:p>
    <w:p w:rsidR="005D5F82" w:rsidRPr="005E4DA4" w:rsidRDefault="005D5F82" w:rsidP="005E4DA4">
      <w:pPr>
        <w:jc w:val="both"/>
        <w:rPr>
          <w:rFonts w:ascii="Arial" w:hAnsi="Arial" w:cs="Arial"/>
          <w:sz w:val="22"/>
          <w:szCs w:val="22"/>
        </w:rPr>
      </w:pPr>
    </w:p>
    <w:p w:rsidR="005D5F82" w:rsidRPr="005E4DA4" w:rsidRDefault="005D5F82" w:rsidP="005E4DA4">
      <w:pPr>
        <w:jc w:val="both"/>
        <w:rPr>
          <w:rFonts w:ascii="Arial" w:hAnsi="Arial" w:cs="Arial"/>
          <w:sz w:val="22"/>
          <w:szCs w:val="22"/>
        </w:rPr>
      </w:pPr>
      <w:r w:rsidRPr="005E4DA4">
        <w:rPr>
          <w:rFonts w:ascii="Arial" w:hAnsi="Arial" w:cs="Arial"/>
          <w:sz w:val="22"/>
          <w:szCs w:val="22"/>
        </w:rPr>
        <w:t xml:space="preserve">Les crédits débasés s’élèvent à </w:t>
      </w:r>
      <w:r w:rsidR="0037307C" w:rsidRPr="0037307C">
        <w:rPr>
          <w:rFonts w:ascii="Arial" w:hAnsi="Arial" w:cs="Arial"/>
          <w:b/>
          <w:sz w:val="22"/>
          <w:szCs w:val="22"/>
        </w:rPr>
        <w:t>5,5</w:t>
      </w:r>
      <w:r w:rsidRPr="0037307C">
        <w:rPr>
          <w:rFonts w:ascii="Arial" w:hAnsi="Arial" w:cs="Arial"/>
          <w:b/>
          <w:sz w:val="22"/>
          <w:szCs w:val="22"/>
        </w:rPr>
        <w:t>M€</w:t>
      </w:r>
      <w:r w:rsidRPr="005E4DA4">
        <w:rPr>
          <w:rFonts w:ascii="Arial" w:hAnsi="Arial" w:cs="Arial"/>
          <w:sz w:val="22"/>
          <w:szCs w:val="22"/>
        </w:rPr>
        <w:t xml:space="preserve"> de AC/DAF reconductibles.</w:t>
      </w:r>
      <w:r w:rsidRPr="005E4DA4">
        <w:rPr>
          <w:rFonts w:ascii="Arial" w:hAnsi="Arial" w:cs="Arial"/>
          <w:i/>
          <w:iCs/>
          <w:sz w:val="22"/>
          <w:szCs w:val="22"/>
        </w:rPr>
        <w:t xml:space="preserve"> </w:t>
      </w:r>
    </w:p>
    <w:p w:rsidR="005D5F82" w:rsidRPr="005E4DA4" w:rsidRDefault="005D5F82" w:rsidP="005E4DA4">
      <w:pPr>
        <w:pStyle w:val="Pieddepage"/>
        <w:rPr>
          <w:rFonts w:cs="Arial"/>
          <w:szCs w:val="22"/>
        </w:rPr>
      </w:pPr>
    </w:p>
    <w:p w:rsidR="001C4A74" w:rsidRPr="005E4DA4" w:rsidRDefault="001C4A74" w:rsidP="005E4DA4">
      <w:pPr>
        <w:jc w:val="both"/>
        <w:rPr>
          <w:rFonts w:ascii="Arial" w:hAnsi="Arial" w:cs="Arial"/>
          <w:sz w:val="22"/>
          <w:szCs w:val="22"/>
        </w:rPr>
      </w:pPr>
    </w:p>
    <w:p w:rsidR="001C4A74" w:rsidRPr="005E4DA4" w:rsidRDefault="001C4A74" w:rsidP="005E4DA4">
      <w:pPr>
        <w:jc w:val="both"/>
        <w:rPr>
          <w:rFonts w:ascii="Arial" w:hAnsi="Arial" w:cs="Arial"/>
          <w:b/>
          <w:sz w:val="22"/>
          <w:szCs w:val="22"/>
        </w:rPr>
      </w:pPr>
      <w:r w:rsidRPr="005E4DA4">
        <w:rPr>
          <w:rFonts w:ascii="Arial" w:hAnsi="Arial" w:cs="Arial"/>
          <w:b/>
          <w:sz w:val="22"/>
          <w:szCs w:val="22"/>
        </w:rPr>
        <w:t>Hôpital numérique</w:t>
      </w:r>
    </w:p>
    <w:p w:rsidR="00AB01E6" w:rsidRPr="005E4DA4" w:rsidRDefault="00AB01E6" w:rsidP="005E4DA4">
      <w:pPr>
        <w:pStyle w:val="Corpsdetexte"/>
        <w:spacing w:after="0"/>
        <w:jc w:val="both"/>
        <w:rPr>
          <w:rFonts w:ascii="Arial" w:hAnsi="Arial" w:cs="Arial"/>
          <w:sz w:val="22"/>
          <w:szCs w:val="22"/>
        </w:rPr>
      </w:pPr>
    </w:p>
    <w:p w:rsidR="001C4A74" w:rsidRPr="005E4DA4" w:rsidRDefault="001C4A74" w:rsidP="005E4DA4">
      <w:pPr>
        <w:pStyle w:val="Corpsdetexte"/>
        <w:spacing w:after="0"/>
        <w:jc w:val="both"/>
        <w:rPr>
          <w:rFonts w:ascii="Arial" w:hAnsi="Arial" w:cs="Arial"/>
          <w:sz w:val="22"/>
          <w:szCs w:val="22"/>
        </w:rPr>
      </w:pPr>
      <w:r w:rsidRPr="005E4DA4">
        <w:rPr>
          <w:rFonts w:ascii="Arial" w:hAnsi="Arial" w:cs="Arial"/>
          <w:sz w:val="22"/>
          <w:szCs w:val="22"/>
        </w:rPr>
        <w:t>Les modalités du volet financement sont détaillées dans l’instruction N°DGOS/PF/MSIOS/2013/225 du 04 juin 2013 relative au lancement opérationnel du volet financement du programme Hôpital numérique.</w:t>
      </w:r>
    </w:p>
    <w:p w:rsidR="001C4A74" w:rsidRPr="005E4DA4" w:rsidRDefault="001C4A74" w:rsidP="005E4DA4">
      <w:pPr>
        <w:pStyle w:val="Corpsdetexte"/>
        <w:spacing w:after="0"/>
        <w:jc w:val="both"/>
        <w:rPr>
          <w:rFonts w:ascii="Arial" w:hAnsi="Arial" w:cs="Arial"/>
          <w:sz w:val="22"/>
          <w:szCs w:val="22"/>
        </w:rPr>
      </w:pPr>
    </w:p>
    <w:p w:rsidR="001C4A74" w:rsidRPr="005E4DA4" w:rsidRDefault="001C4A74" w:rsidP="005E4DA4">
      <w:pPr>
        <w:pStyle w:val="Corpsdetexte"/>
        <w:spacing w:after="0"/>
        <w:jc w:val="both"/>
        <w:rPr>
          <w:rFonts w:ascii="Arial" w:hAnsi="Arial" w:cs="Arial"/>
          <w:sz w:val="22"/>
          <w:szCs w:val="22"/>
        </w:rPr>
      </w:pPr>
      <w:r w:rsidRPr="005E4DA4">
        <w:rPr>
          <w:rFonts w:ascii="Arial" w:hAnsi="Arial" w:cs="Arial"/>
          <w:sz w:val="22"/>
          <w:szCs w:val="22"/>
        </w:rPr>
        <w:t>Le programme hôpital numérique prévoit l’octroi d’un soutien financier aux établissements de santé (hors médico-social) publics, privés et ESPIC éligibles, quel que soit leur champ d’activité (MCO, SSR, PSY, HAD), sous réserve :</w:t>
      </w:r>
    </w:p>
    <w:p w:rsidR="001C4A74" w:rsidRPr="005E4DA4" w:rsidRDefault="001C4A74" w:rsidP="005E4DA4">
      <w:pPr>
        <w:pStyle w:val="Corpsdetexte"/>
        <w:numPr>
          <w:ilvl w:val="0"/>
          <w:numId w:val="1"/>
        </w:numPr>
        <w:spacing w:after="0"/>
        <w:jc w:val="both"/>
        <w:rPr>
          <w:rFonts w:ascii="Arial" w:hAnsi="Arial" w:cs="Arial"/>
          <w:sz w:val="22"/>
          <w:szCs w:val="22"/>
        </w:rPr>
      </w:pPr>
      <w:r w:rsidRPr="005E4DA4">
        <w:rPr>
          <w:rFonts w:ascii="Arial" w:hAnsi="Arial" w:cs="Arial"/>
          <w:sz w:val="22"/>
          <w:szCs w:val="22"/>
        </w:rPr>
        <w:t>de leur conformité aux pré-requis (critère d’éligibilité au volet financement) lors de la sélection de l’établissement et lors de l’atteinte des cibles,</w:t>
      </w:r>
    </w:p>
    <w:p w:rsidR="001C4A74" w:rsidRPr="005E4DA4" w:rsidRDefault="001C4A74" w:rsidP="005E4DA4">
      <w:pPr>
        <w:pStyle w:val="Corpsdetexte"/>
        <w:numPr>
          <w:ilvl w:val="0"/>
          <w:numId w:val="1"/>
        </w:numPr>
        <w:spacing w:after="0"/>
        <w:jc w:val="both"/>
        <w:rPr>
          <w:rFonts w:ascii="Arial" w:hAnsi="Arial" w:cs="Arial"/>
          <w:sz w:val="22"/>
          <w:szCs w:val="22"/>
        </w:rPr>
      </w:pPr>
      <w:r w:rsidRPr="005E4DA4">
        <w:rPr>
          <w:rFonts w:ascii="Arial" w:hAnsi="Arial" w:cs="Arial"/>
          <w:sz w:val="22"/>
          <w:szCs w:val="22"/>
        </w:rPr>
        <w:t>de ne pas avoir été financé sur le même domaine fonctionnel par le plan Hôpital 2012 et d’avoir terminé son projet Hôpital 2012 quel que soit le domaine (critère d’éligibilité au volet financement),</w:t>
      </w:r>
    </w:p>
    <w:p w:rsidR="001C4A74" w:rsidRPr="005E4DA4" w:rsidRDefault="001C4A74" w:rsidP="005E4DA4">
      <w:pPr>
        <w:pStyle w:val="Corpsdetexte"/>
        <w:numPr>
          <w:ilvl w:val="0"/>
          <w:numId w:val="1"/>
        </w:numPr>
        <w:spacing w:after="0"/>
        <w:jc w:val="both"/>
        <w:rPr>
          <w:rFonts w:ascii="Arial" w:hAnsi="Arial" w:cs="Arial"/>
          <w:sz w:val="22"/>
          <w:szCs w:val="22"/>
        </w:rPr>
      </w:pPr>
      <w:r w:rsidRPr="005E4DA4">
        <w:rPr>
          <w:rFonts w:ascii="Arial" w:hAnsi="Arial" w:cs="Arial"/>
          <w:sz w:val="22"/>
          <w:szCs w:val="22"/>
        </w:rPr>
        <w:t>de l’atteinte avant le 31 décembre 2017 des cibles définies sur l’usage du système d’information dans chaque domaine fonctionnel sur lequel l’établissement candidate (critère de délégation de la part « usage » du financement)</w:t>
      </w:r>
      <w:r w:rsidR="00B526DD">
        <w:rPr>
          <w:rFonts w:ascii="Arial" w:hAnsi="Arial" w:cs="Arial"/>
          <w:sz w:val="22"/>
          <w:szCs w:val="22"/>
        </w:rPr>
        <w:t>.</w:t>
      </w:r>
    </w:p>
    <w:p w:rsidR="001C4A74" w:rsidRPr="005E4DA4" w:rsidRDefault="001C4A74" w:rsidP="005E4DA4">
      <w:pPr>
        <w:pStyle w:val="Corpsdetexte"/>
        <w:spacing w:after="0"/>
        <w:jc w:val="both"/>
        <w:rPr>
          <w:rFonts w:ascii="Arial" w:hAnsi="Arial" w:cs="Arial"/>
          <w:sz w:val="22"/>
          <w:szCs w:val="22"/>
        </w:rPr>
      </w:pPr>
    </w:p>
    <w:p w:rsidR="001C4A74" w:rsidRPr="005E4DA4" w:rsidRDefault="001C4A74" w:rsidP="005E4DA4">
      <w:pPr>
        <w:pStyle w:val="Corpsdetexte"/>
        <w:spacing w:after="0"/>
        <w:jc w:val="both"/>
        <w:rPr>
          <w:rFonts w:ascii="Arial" w:hAnsi="Arial" w:cs="Arial"/>
          <w:sz w:val="22"/>
          <w:szCs w:val="22"/>
        </w:rPr>
      </w:pPr>
      <w:r w:rsidRPr="005E4DA4">
        <w:rPr>
          <w:rFonts w:ascii="Arial" w:hAnsi="Arial" w:cs="Arial"/>
          <w:sz w:val="22"/>
          <w:szCs w:val="22"/>
        </w:rPr>
        <w:t xml:space="preserve">Les montants des soutiens financiers sont forfaitaires et définis au niveau national : </w:t>
      </w:r>
    </w:p>
    <w:p w:rsidR="001C4A74" w:rsidRPr="005E4DA4" w:rsidRDefault="001C4A74" w:rsidP="005E4DA4">
      <w:pPr>
        <w:pStyle w:val="Corpsdetexte"/>
        <w:numPr>
          <w:ilvl w:val="0"/>
          <w:numId w:val="1"/>
        </w:numPr>
        <w:spacing w:after="0"/>
        <w:jc w:val="both"/>
        <w:rPr>
          <w:rFonts w:ascii="Arial" w:hAnsi="Arial" w:cs="Arial"/>
          <w:sz w:val="22"/>
          <w:szCs w:val="22"/>
        </w:rPr>
      </w:pPr>
      <w:r w:rsidRPr="005E4DA4">
        <w:rPr>
          <w:rFonts w:ascii="Arial" w:hAnsi="Arial" w:cs="Arial"/>
          <w:sz w:val="22"/>
          <w:szCs w:val="22"/>
        </w:rPr>
        <w:t xml:space="preserve">par domaine, </w:t>
      </w:r>
    </w:p>
    <w:p w:rsidR="001C4A74" w:rsidRPr="005E4DA4" w:rsidRDefault="001C4A74" w:rsidP="005E4DA4">
      <w:pPr>
        <w:pStyle w:val="Corpsdetexte"/>
        <w:numPr>
          <w:ilvl w:val="0"/>
          <w:numId w:val="1"/>
        </w:numPr>
        <w:spacing w:after="0"/>
        <w:jc w:val="both"/>
        <w:rPr>
          <w:rFonts w:ascii="Arial" w:hAnsi="Arial" w:cs="Arial"/>
          <w:sz w:val="22"/>
          <w:szCs w:val="22"/>
        </w:rPr>
      </w:pPr>
      <w:r w:rsidRPr="005E4DA4">
        <w:rPr>
          <w:rFonts w:ascii="Arial" w:hAnsi="Arial" w:cs="Arial"/>
          <w:sz w:val="22"/>
          <w:szCs w:val="22"/>
        </w:rPr>
        <w:t xml:space="preserve">en fonction de l’activité combinée de l’établissement, qui correspond à une mesure de l’activité des établissements fondée sur le nombre de journées et séances avec une mise en équivalence des différents champs d’activité. </w:t>
      </w:r>
    </w:p>
    <w:p w:rsidR="001C4A74" w:rsidRPr="005E4DA4" w:rsidRDefault="001C4A74" w:rsidP="005E4DA4">
      <w:pPr>
        <w:pStyle w:val="Corpsdetexte"/>
        <w:spacing w:after="0"/>
        <w:jc w:val="both"/>
        <w:rPr>
          <w:rFonts w:ascii="Arial" w:hAnsi="Arial" w:cs="Arial"/>
          <w:sz w:val="22"/>
          <w:szCs w:val="22"/>
        </w:rPr>
      </w:pPr>
    </w:p>
    <w:p w:rsidR="001C4A74" w:rsidRPr="005E4DA4" w:rsidRDefault="001C4A74" w:rsidP="005E4DA4">
      <w:pPr>
        <w:pStyle w:val="Corpsdetexte"/>
        <w:spacing w:after="0"/>
        <w:jc w:val="both"/>
        <w:rPr>
          <w:rFonts w:ascii="Arial" w:hAnsi="Arial" w:cs="Arial"/>
          <w:sz w:val="22"/>
          <w:szCs w:val="22"/>
        </w:rPr>
      </w:pPr>
      <w:r w:rsidRPr="005E4DA4">
        <w:rPr>
          <w:rFonts w:ascii="Arial" w:hAnsi="Arial" w:cs="Arial"/>
          <w:sz w:val="22"/>
          <w:szCs w:val="22"/>
        </w:rPr>
        <w:t>Les ARS sont responsables de la sélection des établissements sur un ou plusieurs domaines prioritaires. Les candidatures des établissements, la saisie des valeurs des indicateurs et le téléchargement des pièces justificatives sont réalisées par les établissements de santé dans l’outil DIPISI. La sélection, la validation des pré-requis et de l’atteinte des cibles, le suivi du projet et la demande de délégation sont réalisées par les ARS dans l’outil DIPISI.</w:t>
      </w:r>
    </w:p>
    <w:p w:rsidR="001C4A74" w:rsidRPr="005E4DA4" w:rsidRDefault="001C4A74" w:rsidP="005E4DA4">
      <w:pPr>
        <w:pStyle w:val="Corpsdetexte"/>
        <w:spacing w:after="0"/>
        <w:jc w:val="both"/>
        <w:rPr>
          <w:rFonts w:ascii="Arial" w:hAnsi="Arial" w:cs="Arial"/>
          <w:sz w:val="22"/>
          <w:szCs w:val="22"/>
        </w:rPr>
      </w:pPr>
    </w:p>
    <w:p w:rsidR="005F55D9" w:rsidRDefault="00B526DD" w:rsidP="005E4DA4">
      <w:pPr>
        <w:pStyle w:val="Corpsdetexte"/>
        <w:spacing w:after="0"/>
        <w:jc w:val="both"/>
        <w:rPr>
          <w:rFonts w:ascii="Arial" w:hAnsi="Arial" w:cs="Arial"/>
          <w:sz w:val="22"/>
          <w:szCs w:val="22"/>
        </w:rPr>
      </w:pPr>
      <w:r>
        <w:rPr>
          <w:rFonts w:ascii="Arial" w:hAnsi="Arial" w:cs="Arial"/>
          <w:sz w:val="22"/>
          <w:szCs w:val="22"/>
        </w:rPr>
        <w:t>En plus du soutien financier destiné à l’amorçage versé par le FMESPP,</w:t>
      </w:r>
      <w:r w:rsidRPr="005E4DA4">
        <w:rPr>
          <w:rFonts w:ascii="Arial" w:hAnsi="Arial" w:cs="Arial"/>
          <w:sz w:val="22"/>
          <w:szCs w:val="22"/>
        </w:rPr>
        <w:t xml:space="preserve"> </w:t>
      </w:r>
      <w:r w:rsidR="005F55D9" w:rsidRPr="0037307C">
        <w:rPr>
          <w:rFonts w:ascii="Arial" w:hAnsi="Arial" w:cs="Arial"/>
          <w:b/>
          <w:sz w:val="22"/>
          <w:szCs w:val="22"/>
        </w:rPr>
        <w:t>0,18M€</w:t>
      </w:r>
      <w:r w:rsidR="005F55D9">
        <w:rPr>
          <w:rFonts w:ascii="Arial" w:hAnsi="Arial" w:cs="Arial"/>
          <w:sz w:val="22"/>
          <w:szCs w:val="22"/>
        </w:rPr>
        <w:t xml:space="preserve"> en AC et </w:t>
      </w:r>
      <w:r w:rsidR="005F55D9" w:rsidRPr="0037307C">
        <w:rPr>
          <w:rFonts w:ascii="Arial" w:hAnsi="Arial" w:cs="Arial"/>
          <w:b/>
          <w:sz w:val="22"/>
          <w:szCs w:val="22"/>
        </w:rPr>
        <w:t>0,53M€</w:t>
      </w:r>
      <w:r w:rsidR="005F55D9">
        <w:rPr>
          <w:rFonts w:ascii="Arial" w:hAnsi="Arial" w:cs="Arial"/>
          <w:sz w:val="22"/>
          <w:szCs w:val="22"/>
        </w:rPr>
        <w:t xml:space="preserve"> en DAF sont délégués</w:t>
      </w:r>
      <w:r w:rsidR="001C4A74" w:rsidRPr="005E4DA4">
        <w:rPr>
          <w:rFonts w:ascii="Arial" w:hAnsi="Arial" w:cs="Arial"/>
          <w:sz w:val="22"/>
          <w:szCs w:val="22"/>
        </w:rPr>
        <w:t xml:space="preserve"> à l’usage</w:t>
      </w:r>
      <w:r w:rsidR="005F55D9">
        <w:rPr>
          <w:rFonts w:ascii="Arial" w:hAnsi="Arial" w:cs="Arial"/>
          <w:sz w:val="22"/>
          <w:szCs w:val="22"/>
        </w:rPr>
        <w:t xml:space="preserve"> en non reconductible.</w:t>
      </w:r>
    </w:p>
    <w:p w:rsidR="003D67C3" w:rsidRDefault="003D67C3" w:rsidP="005F55D9">
      <w:pPr>
        <w:pStyle w:val="Corpsdetexte"/>
        <w:spacing w:after="0"/>
        <w:jc w:val="both"/>
        <w:rPr>
          <w:rFonts w:ascii="Arial" w:hAnsi="Arial" w:cs="Arial"/>
          <w:sz w:val="22"/>
          <w:szCs w:val="22"/>
        </w:rPr>
      </w:pPr>
    </w:p>
    <w:p w:rsidR="005F55D9" w:rsidRDefault="005F55D9" w:rsidP="005F55D9">
      <w:pPr>
        <w:pStyle w:val="Corpsdetexte"/>
        <w:spacing w:after="0"/>
        <w:jc w:val="both"/>
        <w:rPr>
          <w:rFonts w:ascii="Arial" w:hAnsi="Arial" w:cs="Arial"/>
          <w:sz w:val="22"/>
          <w:szCs w:val="22"/>
        </w:rPr>
      </w:pPr>
      <w:r>
        <w:rPr>
          <w:rFonts w:ascii="Arial" w:hAnsi="Arial" w:cs="Arial"/>
          <w:sz w:val="22"/>
          <w:szCs w:val="22"/>
        </w:rPr>
        <w:t xml:space="preserve">A noter que concernant les </w:t>
      </w:r>
      <w:r w:rsidRPr="005E4DA4">
        <w:rPr>
          <w:rFonts w:ascii="Arial" w:hAnsi="Arial" w:cs="Arial"/>
          <w:sz w:val="22"/>
          <w:szCs w:val="22"/>
        </w:rPr>
        <w:t>établissements de santé privés mono activité SSR et PSY</w:t>
      </w:r>
      <w:r>
        <w:rPr>
          <w:rFonts w:ascii="Arial" w:hAnsi="Arial" w:cs="Arial"/>
          <w:sz w:val="22"/>
          <w:szCs w:val="22"/>
        </w:rPr>
        <w:t xml:space="preserve">, le </w:t>
      </w:r>
      <w:r w:rsidRPr="005E4DA4">
        <w:rPr>
          <w:rFonts w:ascii="Arial" w:hAnsi="Arial" w:cs="Arial"/>
          <w:sz w:val="22"/>
          <w:szCs w:val="22"/>
        </w:rPr>
        <w:t>soutien financier est délégué en FMESPP</w:t>
      </w:r>
      <w:r>
        <w:rPr>
          <w:rFonts w:ascii="Arial" w:hAnsi="Arial" w:cs="Arial"/>
          <w:sz w:val="22"/>
          <w:szCs w:val="22"/>
        </w:rPr>
        <w:t xml:space="preserve">. </w:t>
      </w:r>
    </w:p>
    <w:p w:rsidR="005F55D9" w:rsidRDefault="005F55D9" w:rsidP="005E4DA4">
      <w:pPr>
        <w:pStyle w:val="Corpsdetexte"/>
        <w:spacing w:after="0"/>
        <w:jc w:val="both"/>
        <w:rPr>
          <w:rFonts w:ascii="Arial" w:hAnsi="Arial" w:cs="Arial"/>
          <w:sz w:val="22"/>
          <w:szCs w:val="22"/>
        </w:rPr>
      </w:pPr>
    </w:p>
    <w:p w:rsidR="00B526DD" w:rsidRDefault="00B526DD" w:rsidP="005E4DA4">
      <w:pPr>
        <w:pStyle w:val="Corpsdetexte"/>
        <w:spacing w:after="0"/>
        <w:jc w:val="both"/>
        <w:rPr>
          <w:rFonts w:ascii="Arial" w:hAnsi="Arial" w:cs="Arial"/>
          <w:sz w:val="22"/>
          <w:szCs w:val="22"/>
        </w:rPr>
      </w:pPr>
    </w:p>
    <w:p w:rsidR="005F55D9" w:rsidRDefault="005F55D9" w:rsidP="005E4DA4">
      <w:pPr>
        <w:pStyle w:val="Corpsdetexte"/>
        <w:spacing w:after="0"/>
        <w:jc w:val="both"/>
        <w:rPr>
          <w:rFonts w:ascii="Arial" w:hAnsi="Arial" w:cs="Arial"/>
          <w:sz w:val="22"/>
          <w:szCs w:val="22"/>
        </w:rPr>
      </w:pPr>
    </w:p>
    <w:sectPr w:rsidR="005F55D9" w:rsidSect="002A7EFB">
      <w:footerReference w:type="default" r:id="rId7"/>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F0" w:rsidRDefault="005217F0" w:rsidP="005217F0">
      <w:r>
        <w:separator/>
      </w:r>
    </w:p>
  </w:endnote>
  <w:endnote w:type="continuationSeparator" w:id="0">
    <w:p w:rsidR="005217F0" w:rsidRDefault="005217F0" w:rsidP="005217F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6797"/>
      <w:docPartObj>
        <w:docPartGallery w:val="Page Numbers (Bottom of Page)"/>
        <w:docPartUnique/>
      </w:docPartObj>
    </w:sdtPr>
    <w:sdtContent>
      <w:p w:rsidR="005217F0" w:rsidRDefault="00733080">
        <w:pPr>
          <w:pStyle w:val="Pieddepage"/>
          <w:jc w:val="right"/>
        </w:pPr>
        <w:fldSimple w:instr=" PAGE   \* MERGEFORMAT ">
          <w:r w:rsidR="004D6B9F">
            <w:rPr>
              <w:noProof/>
            </w:rPr>
            <w:t>1</w:t>
          </w:r>
        </w:fldSimple>
      </w:p>
    </w:sdtContent>
  </w:sdt>
  <w:p w:rsidR="005217F0" w:rsidRDefault="005217F0">
    <w:pPr>
      <w:pStyle w:val="Pieddepa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F0" w:rsidRDefault="005217F0" w:rsidP="005217F0">
      <w:r>
        <w:separator/>
      </w:r>
    </w:p>
  </w:footnote>
  <w:footnote w:type="continuationSeparator" w:id="0">
    <w:p w:rsidR="005217F0" w:rsidRDefault="005217F0" w:rsidP="005217F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582A"/>
    <w:multiLevelType w:val="hybridMultilevel"/>
    <w:tmpl w:val="A41A1ED6"/>
    <w:lvl w:ilvl="0" w:tplc="54861DAC">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496474"/>
    <w:multiLevelType w:val="hybridMultilevel"/>
    <w:tmpl w:val="DDFCA71A"/>
    <w:lvl w:ilvl="0" w:tplc="5F9426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1"/>
    <w:footnote w:id="0"/>
  </w:footnotePr>
  <w:endnotePr>
    <w:endnote w:id="-1"/>
    <w:endnote w:id="0"/>
  </w:endnotePr>
  <w:compat/>
  <w:rsids>
    <w:rsidRoot w:val="001C4A74"/>
    <w:rsid w:val="00005199"/>
    <w:rsid w:val="00085583"/>
    <w:rsid w:val="00115774"/>
    <w:rsid w:val="00151775"/>
    <w:rsid w:val="001736E4"/>
    <w:rsid w:val="0017421F"/>
    <w:rsid w:val="001C4A74"/>
    <w:rsid w:val="002461D2"/>
    <w:rsid w:val="0026175E"/>
    <w:rsid w:val="002A7EFB"/>
    <w:rsid w:val="002F192F"/>
    <w:rsid w:val="0037307C"/>
    <w:rsid w:val="003D67C3"/>
    <w:rsid w:val="004841EC"/>
    <w:rsid w:val="004D6B9F"/>
    <w:rsid w:val="005212CD"/>
    <w:rsid w:val="005217F0"/>
    <w:rsid w:val="005815E3"/>
    <w:rsid w:val="005D5F82"/>
    <w:rsid w:val="005E4DA4"/>
    <w:rsid w:val="005F55D9"/>
    <w:rsid w:val="006D0907"/>
    <w:rsid w:val="00705794"/>
    <w:rsid w:val="00733080"/>
    <w:rsid w:val="00840272"/>
    <w:rsid w:val="00861009"/>
    <w:rsid w:val="00907C4E"/>
    <w:rsid w:val="00907E95"/>
    <w:rsid w:val="009D1780"/>
    <w:rsid w:val="00AB01E6"/>
    <w:rsid w:val="00B060C2"/>
    <w:rsid w:val="00B526DD"/>
    <w:rsid w:val="00C747D5"/>
    <w:rsid w:val="00CA0CEF"/>
    <w:rsid w:val="00DD5CCC"/>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74"/>
    <w:pPr>
      <w:spacing w:after="0" w:line="240" w:lineRule="auto"/>
    </w:pPr>
    <w:rPr>
      <w:rFonts w:ascii="Times New Roman" w:eastAsia="MS Mincho" w:hAnsi="Times New Roman" w:cs="Times New Roman"/>
      <w:sz w:val="24"/>
      <w:szCs w:val="24"/>
      <w:lang w:eastAsia="ja-JP"/>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Corpsdetexte">
    <w:name w:val="Body Text"/>
    <w:basedOn w:val="Normal"/>
    <w:link w:val="CorpsdetexteCar"/>
    <w:rsid w:val="001C4A74"/>
    <w:pPr>
      <w:spacing w:after="120"/>
    </w:pPr>
  </w:style>
  <w:style w:type="character" w:customStyle="1" w:styleId="CorpsdetexteCar">
    <w:name w:val="Corps de texte Car"/>
    <w:basedOn w:val="Policepardfaut"/>
    <w:link w:val="Corpsdetexte"/>
    <w:rsid w:val="001C4A74"/>
    <w:rPr>
      <w:rFonts w:ascii="Times New Roman" w:eastAsia="MS Mincho" w:hAnsi="Times New Roman" w:cs="Times New Roman"/>
      <w:sz w:val="24"/>
      <w:szCs w:val="24"/>
      <w:lang w:eastAsia="ja-JP"/>
    </w:rPr>
  </w:style>
  <w:style w:type="paragraph" w:styleId="Pieddepage">
    <w:name w:val="footer"/>
    <w:basedOn w:val="Normal"/>
    <w:link w:val="PieddepageCar"/>
    <w:uiPriority w:val="99"/>
    <w:rsid w:val="005D5F82"/>
    <w:pPr>
      <w:tabs>
        <w:tab w:val="center" w:pos="4536"/>
        <w:tab w:val="right" w:pos="9072"/>
      </w:tabs>
      <w:jc w:val="both"/>
    </w:pPr>
    <w:rPr>
      <w:rFonts w:ascii="Arial" w:eastAsia="Times New Roman" w:hAnsi="Arial"/>
      <w:sz w:val="22"/>
      <w:szCs w:val="20"/>
      <w:lang w:eastAsia="fr-FR"/>
    </w:rPr>
  </w:style>
  <w:style w:type="character" w:customStyle="1" w:styleId="PieddepageCar">
    <w:name w:val="Pied de page Car"/>
    <w:basedOn w:val="Policepardfaut"/>
    <w:link w:val="Pieddepage"/>
    <w:uiPriority w:val="99"/>
    <w:rsid w:val="005D5F82"/>
    <w:rPr>
      <w:rFonts w:ascii="Arial" w:eastAsia="Times New Roman" w:hAnsi="Arial" w:cs="Times New Roman"/>
      <w:szCs w:val="20"/>
      <w:lang w:eastAsia="fr-FR"/>
    </w:rPr>
  </w:style>
  <w:style w:type="paragraph" w:styleId="En-tte">
    <w:name w:val="header"/>
    <w:basedOn w:val="Normal"/>
    <w:link w:val="En-tteCar"/>
    <w:uiPriority w:val="99"/>
    <w:semiHidden/>
    <w:unhideWhenUsed/>
    <w:rsid w:val="005217F0"/>
    <w:pPr>
      <w:tabs>
        <w:tab w:val="center" w:pos="4536"/>
        <w:tab w:val="right" w:pos="9072"/>
      </w:tabs>
    </w:pPr>
  </w:style>
  <w:style w:type="character" w:customStyle="1" w:styleId="En-tteCar">
    <w:name w:val="En-tête Car"/>
    <w:basedOn w:val="Policepardfaut"/>
    <w:link w:val="En-tte"/>
    <w:uiPriority w:val="99"/>
    <w:semiHidden/>
    <w:rsid w:val="005217F0"/>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2038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Macintosh Word</Application>
  <DocSecurity>0</DocSecurity>
  <Lines>18</Lines>
  <Paragraphs>4</Paragraphs>
  <ScaleCrop>false</ScaleCrop>
  <Company>MSS</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vpajevic</dc:creator>
  <cp:keywords/>
  <dc:description/>
  <cp:lastModifiedBy>crouzet</cp:lastModifiedBy>
  <cp:revision>2</cp:revision>
  <dcterms:created xsi:type="dcterms:W3CDTF">2014-04-09T12:58:00Z</dcterms:created>
  <dcterms:modified xsi:type="dcterms:W3CDTF">2014-04-09T12:58:00Z</dcterms:modified>
</cp:coreProperties>
</file>